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E7" w:rsidRDefault="00857FE7" w:rsidP="00333D47">
      <w:pPr>
        <w:spacing w:line="360" w:lineRule="auto"/>
        <w:jc w:val="both"/>
        <w:rPr>
          <w:b/>
          <w:lang w:val="en-GB"/>
        </w:rPr>
      </w:pPr>
      <w:bookmarkStart w:id="0" w:name="_GoBack"/>
      <w:bookmarkEnd w:id="0"/>
    </w:p>
    <w:p w:rsidR="00F745DD" w:rsidRDefault="00F745DD" w:rsidP="00333D47">
      <w:pPr>
        <w:spacing w:line="360" w:lineRule="auto"/>
        <w:jc w:val="both"/>
        <w:rPr>
          <w:b/>
          <w:lang w:val="en-GB"/>
        </w:rPr>
      </w:pPr>
    </w:p>
    <w:p w:rsidR="002858BE" w:rsidRDefault="002858BE" w:rsidP="00B46AF4">
      <w:pPr>
        <w:spacing w:line="480" w:lineRule="auto"/>
        <w:jc w:val="both"/>
        <w:rPr>
          <w:b/>
          <w:lang w:val="en-GB"/>
        </w:rPr>
      </w:pPr>
      <w:r>
        <w:rPr>
          <w:b/>
          <w:lang w:val="en-GB"/>
        </w:rPr>
        <w:t>Commentary</w:t>
      </w:r>
    </w:p>
    <w:p w:rsidR="00032087" w:rsidRPr="007D5EE4" w:rsidRDefault="00124AEB" w:rsidP="00B46AF4">
      <w:pPr>
        <w:spacing w:line="480" w:lineRule="auto"/>
        <w:jc w:val="both"/>
        <w:rPr>
          <w:b/>
          <w:lang w:val="en-GB"/>
        </w:rPr>
      </w:pPr>
      <w:r>
        <w:rPr>
          <w:b/>
          <w:lang w:val="en-GB"/>
        </w:rPr>
        <w:t>Biobanker</w:t>
      </w:r>
      <w:r w:rsidR="00A867D6">
        <w:rPr>
          <w:b/>
          <w:lang w:val="en-GB"/>
        </w:rPr>
        <w:t xml:space="preserve">s: </w:t>
      </w:r>
      <w:r w:rsidR="00032087" w:rsidRPr="007D5EE4">
        <w:rPr>
          <w:b/>
          <w:lang w:val="en-GB"/>
        </w:rPr>
        <w:t>Treat the poison of invisibility with CoBRA</w:t>
      </w:r>
    </w:p>
    <w:p w:rsidR="0087071C" w:rsidRDefault="0087071C" w:rsidP="00B46AF4">
      <w:pPr>
        <w:autoSpaceDE w:val="0"/>
        <w:autoSpaceDN w:val="0"/>
        <w:adjustRightInd w:val="0"/>
        <w:spacing w:line="480" w:lineRule="auto"/>
        <w:jc w:val="both"/>
        <w:outlineLvl w:val="0"/>
        <w:rPr>
          <w:rFonts w:ascii="Times New Roman" w:hAnsi="Times New Roman"/>
          <w:lang w:eastAsia="it-IT"/>
        </w:rPr>
      </w:pPr>
    </w:p>
    <w:p w:rsidR="00F745DD" w:rsidRPr="00FE7C42" w:rsidRDefault="0087071C" w:rsidP="00B46AF4">
      <w:pPr>
        <w:autoSpaceDE w:val="0"/>
        <w:autoSpaceDN w:val="0"/>
        <w:adjustRightInd w:val="0"/>
        <w:spacing w:line="480" w:lineRule="auto"/>
        <w:jc w:val="both"/>
        <w:outlineLvl w:val="0"/>
        <w:rPr>
          <w:rFonts w:ascii="Times New Roman" w:hAnsi="Times New Roman"/>
          <w:lang w:eastAsia="it-IT"/>
        </w:rPr>
      </w:pPr>
      <w:r w:rsidRPr="00FE7C42">
        <w:rPr>
          <w:rFonts w:ascii="Times New Roman" w:hAnsi="Times New Roman"/>
          <w:lang w:eastAsia="it-IT"/>
        </w:rPr>
        <w:t>Federica Napolitani</w:t>
      </w:r>
      <w:r w:rsidRPr="00FE7C42">
        <w:rPr>
          <w:rFonts w:ascii="Times New Roman" w:hAnsi="Times New Roman"/>
          <w:vertAlign w:val="superscript"/>
          <w:lang w:eastAsia="it-IT"/>
        </w:rPr>
        <w:t>1</w:t>
      </w:r>
      <w:r w:rsidR="00F745DD" w:rsidRPr="00FE7C42">
        <w:rPr>
          <w:rFonts w:ascii="Times New Roman" w:hAnsi="Times New Roman"/>
          <w:lang w:eastAsia="it-IT"/>
        </w:rPr>
        <w:t xml:space="preserve">, </w:t>
      </w:r>
      <w:r>
        <w:rPr>
          <w:rFonts w:ascii="Times New Roman" w:hAnsi="Times New Roman"/>
          <w:lang w:eastAsia="it-IT"/>
        </w:rPr>
        <w:t>Alessia Calzolari</w:t>
      </w:r>
      <w:r w:rsidRPr="00FE7C42">
        <w:rPr>
          <w:rFonts w:ascii="Times New Roman" w:hAnsi="Times New Roman"/>
          <w:vertAlign w:val="superscript"/>
          <w:lang w:eastAsia="it-IT"/>
        </w:rPr>
        <w:t>1</w:t>
      </w:r>
      <w:r w:rsidRPr="00FE7C42">
        <w:rPr>
          <w:rFonts w:ascii="Times New Roman" w:hAnsi="Times New Roman"/>
          <w:lang w:eastAsia="it-IT"/>
        </w:rPr>
        <w:t xml:space="preserve">, </w:t>
      </w:r>
      <w:r w:rsidR="00F745DD" w:rsidRPr="00FE7C42">
        <w:rPr>
          <w:rFonts w:ascii="Times New Roman" w:hAnsi="Times New Roman"/>
          <w:lang w:eastAsia="it-IT"/>
        </w:rPr>
        <w:t>Anne Cambon-Thomsen</w:t>
      </w:r>
      <w:r w:rsidR="00F745DD" w:rsidRPr="00FE7C42">
        <w:rPr>
          <w:rFonts w:ascii="Times New Roman" w:hAnsi="Times New Roman"/>
          <w:vertAlign w:val="superscript"/>
          <w:lang w:eastAsia="it-IT"/>
        </w:rPr>
        <w:t>2</w:t>
      </w:r>
      <w:r w:rsidR="00F745DD" w:rsidRPr="00FE7C42">
        <w:rPr>
          <w:rFonts w:ascii="Times New Roman" w:hAnsi="Times New Roman"/>
          <w:lang w:eastAsia="it-IT"/>
        </w:rPr>
        <w:t>, Laurence Mabile</w:t>
      </w:r>
      <w:r w:rsidR="00F745DD" w:rsidRPr="00FE7C42">
        <w:rPr>
          <w:rFonts w:ascii="Times New Roman" w:hAnsi="Times New Roman"/>
          <w:vertAlign w:val="superscript"/>
          <w:lang w:eastAsia="it-IT"/>
        </w:rPr>
        <w:t>2</w:t>
      </w:r>
      <w:r w:rsidRPr="00FE7C42">
        <w:rPr>
          <w:rFonts w:ascii="Times New Roman" w:hAnsi="Times New Roman"/>
          <w:lang w:eastAsia="it-IT"/>
        </w:rPr>
        <w:t>,</w:t>
      </w:r>
      <w:r>
        <w:rPr>
          <w:rFonts w:ascii="Times New Roman" w:hAnsi="Times New Roman"/>
          <w:lang w:eastAsia="it-IT"/>
        </w:rPr>
        <w:t xml:space="preserve"> </w:t>
      </w:r>
      <w:r w:rsidR="00F745DD" w:rsidRPr="00FE7C42">
        <w:rPr>
          <w:rFonts w:ascii="Times New Roman" w:hAnsi="Times New Roman"/>
          <w:lang w:eastAsia="it-IT"/>
        </w:rPr>
        <w:t>Anna Maria Rossi</w:t>
      </w:r>
      <w:r w:rsidR="00F745DD" w:rsidRPr="00FE7C42">
        <w:rPr>
          <w:rFonts w:ascii="Times New Roman" w:hAnsi="Times New Roman"/>
          <w:vertAlign w:val="superscript"/>
          <w:lang w:eastAsia="it-IT"/>
        </w:rPr>
        <w:t>1</w:t>
      </w:r>
      <w:r w:rsidR="006A04B6">
        <w:rPr>
          <w:rFonts w:ascii="Times New Roman" w:hAnsi="Times New Roman"/>
          <w:lang w:eastAsia="it-IT"/>
        </w:rPr>
        <w:t>,</w:t>
      </w:r>
      <w:r w:rsidR="006A04B6" w:rsidRPr="00FE7C42">
        <w:rPr>
          <w:rFonts w:ascii="Times New Roman" w:hAnsi="Times New Roman"/>
          <w:lang w:eastAsia="it-IT"/>
        </w:rPr>
        <w:t xml:space="preserve"> </w:t>
      </w:r>
      <w:r w:rsidR="007C6DCF" w:rsidRPr="00FE7C42">
        <w:rPr>
          <w:rFonts w:ascii="Times New Roman" w:hAnsi="Times New Roman"/>
          <w:lang w:eastAsia="it-IT"/>
        </w:rPr>
        <w:t>Paola De Castro</w:t>
      </w:r>
      <w:r w:rsidR="007C6DCF" w:rsidRPr="00FE7C42">
        <w:rPr>
          <w:rFonts w:ascii="Times New Roman" w:hAnsi="Times New Roman"/>
          <w:vertAlign w:val="superscript"/>
          <w:lang w:eastAsia="it-IT"/>
        </w:rPr>
        <w:t>1</w:t>
      </w:r>
      <w:r w:rsidR="007C6DCF">
        <w:rPr>
          <w:rFonts w:ascii="Times New Roman" w:hAnsi="Times New Roman"/>
          <w:lang w:eastAsia="it-IT"/>
        </w:rPr>
        <w:t>,</w:t>
      </w:r>
      <w:r w:rsidR="007C6DCF" w:rsidRPr="00FE7C42">
        <w:rPr>
          <w:rFonts w:ascii="Times New Roman" w:hAnsi="Times New Roman"/>
          <w:lang w:eastAsia="it-IT"/>
        </w:rPr>
        <w:t xml:space="preserve"> </w:t>
      </w:r>
      <w:r w:rsidR="006A04B6" w:rsidRPr="00FE7C42">
        <w:rPr>
          <w:rFonts w:ascii="Times New Roman" w:hAnsi="Times New Roman"/>
          <w:lang w:eastAsia="it-IT"/>
        </w:rPr>
        <w:t>Elena Bravo</w:t>
      </w:r>
      <w:r w:rsidR="006A04B6" w:rsidRPr="00FE7C42">
        <w:rPr>
          <w:rFonts w:ascii="Times New Roman" w:hAnsi="Times New Roman"/>
          <w:vertAlign w:val="superscript"/>
          <w:lang w:eastAsia="it-IT"/>
        </w:rPr>
        <w:t>1</w:t>
      </w:r>
    </w:p>
    <w:p w:rsidR="00F745DD" w:rsidRPr="00FE7C42" w:rsidRDefault="00F745DD" w:rsidP="00B46AF4">
      <w:pPr>
        <w:autoSpaceDE w:val="0"/>
        <w:autoSpaceDN w:val="0"/>
        <w:adjustRightInd w:val="0"/>
        <w:spacing w:line="480" w:lineRule="auto"/>
        <w:jc w:val="both"/>
        <w:outlineLvl w:val="0"/>
        <w:rPr>
          <w:rFonts w:ascii="Times New Roman" w:hAnsi="Times New Roman"/>
          <w:lang w:eastAsia="it-IT"/>
        </w:rPr>
      </w:pPr>
    </w:p>
    <w:p w:rsidR="00F745DD" w:rsidRPr="00FE7C42" w:rsidRDefault="00F745DD" w:rsidP="00B46AF4">
      <w:pPr>
        <w:autoSpaceDE w:val="0"/>
        <w:autoSpaceDN w:val="0"/>
        <w:adjustRightInd w:val="0"/>
        <w:spacing w:line="480" w:lineRule="auto"/>
        <w:jc w:val="both"/>
        <w:outlineLvl w:val="0"/>
        <w:rPr>
          <w:rFonts w:ascii="Times New Roman" w:hAnsi="Times New Roman"/>
          <w:i/>
          <w:lang w:eastAsia="it-IT"/>
        </w:rPr>
      </w:pPr>
      <w:r w:rsidRPr="00FE7C42">
        <w:rPr>
          <w:rFonts w:ascii="Times New Roman" w:hAnsi="Times New Roman"/>
          <w:i/>
          <w:vertAlign w:val="superscript"/>
          <w:lang w:eastAsia="it-IT"/>
        </w:rPr>
        <w:t>1</w:t>
      </w:r>
      <w:r w:rsidRPr="00FE7C42">
        <w:rPr>
          <w:rFonts w:ascii="Times New Roman" w:hAnsi="Times New Roman"/>
          <w:i/>
          <w:lang w:eastAsia="it-IT"/>
        </w:rPr>
        <w:t>Istituto Superiore di Sanità, Rome, Italy</w:t>
      </w:r>
    </w:p>
    <w:p w:rsidR="00F745DD" w:rsidRPr="00C421F7" w:rsidRDefault="00F745DD" w:rsidP="00B46AF4">
      <w:pPr>
        <w:autoSpaceDE w:val="0"/>
        <w:autoSpaceDN w:val="0"/>
        <w:adjustRightInd w:val="0"/>
        <w:spacing w:line="480" w:lineRule="auto"/>
        <w:jc w:val="both"/>
        <w:outlineLvl w:val="0"/>
        <w:rPr>
          <w:rFonts w:ascii="Times New Roman" w:hAnsi="Times New Roman"/>
          <w:i/>
          <w:lang w:val="fr-FR" w:eastAsia="it-IT"/>
        </w:rPr>
      </w:pPr>
      <w:r w:rsidRPr="00C421F7">
        <w:rPr>
          <w:rFonts w:ascii="Times New Roman" w:hAnsi="Times New Roman"/>
          <w:i/>
          <w:vertAlign w:val="superscript"/>
          <w:lang w:val="fr-FR" w:eastAsia="it-IT"/>
        </w:rPr>
        <w:t>2</w:t>
      </w:r>
      <w:r w:rsidR="00A26C04">
        <w:rPr>
          <w:rFonts w:ascii="Times New Roman" w:hAnsi="Times New Roman"/>
          <w:i/>
          <w:lang w:val="fr-FR"/>
        </w:rPr>
        <w:t xml:space="preserve">UMR </w:t>
      </w:r>
      <w:r w:rsidRPr="00C421F7">
        <w:rPr>
          <w:rFonts w:ascii="Times New Roman" w:hAnsi="Times New Roman"/>
          <w:i/>
          <w:lang w:val="fr-FR"/>
        </w:rPr>
        <w:t>1027, Inserm, Universi</w:t>
      </w:r>
      <w:r>
        <w:rPr>
          <w:rFonts w:ascii="Times New Roman" w:hAnsi="Times New Roman"/>
          <w:i/>
          <w:lang w:val="fr-FR"/>
        </w:rPr>
        <w:t>té Toulouse III - Paul Sabatier</w:t>
      </w:r>
      <w:r w:rsidRPr="00C421F7">
        <w:rPr>
          <w:rFonts w:ascii="Times New Roman" w:hAnsi="Times New Roman"/>
          <w:i/>
          <w:lang w:val="fr-FR" w:eastAsia="it-IT"/>
        </w:rPr>
        <w:t>, Toulouse, France</w:t>
      </w:r>
    </w:p>
    <w:p w:rsidR="005E6F30" w:rsidRPr="009C4226" w:rsidRDefault="005E6F30" w:rsidP="000E0AC4">
      <w:pPr>
        <w:spacing w:line="360" w:lineRule="auto"/>
        <w:jc w:val="both"/>
        <w:rPr>
          <w:lang w:val="fr-FR"/>
        </w:rPr>
      </w:pPr>
    </w:p>
    <w:p w:rsidR="000768F8" w:rsidRPr="000768F8" w:rsidRDefault="000768F8" w:rsidP="000E0AC4">
      <w:pPr>
        <w:spacing w:line="360" w:lineRule="auto"/>
        <w:jc w:val="both"/>
        <w:rPr>
          <w:lang w:val="en-GB"/>
        </w:rPr>
      </w:pPr>
      <w:r w:rsidRPr="000768F8">
        <w:rPr>
          <w:lang w:val="en-GB"/>
        </w:rPr>
        <w:t>Address correspondence to:</w:t>
      </w:r>
    </w:p>
    <w:p w:rsidR="000768F8" w:rsidRPr="000768F8" w:rsidRDefault="000768F8" w:rsidP="000768F8">
      <w:pPr>
        <w:jc w:val="both"/>
        <w:rPr>
          <w:rFonts w:ascii="Times New Roman" w:hAnsi="Times New Roman"/>
          <w:i/>
          <w:lang w:eastAsia="it-IT"/>
        </w:rPr>
      </w:pPr>
      <w:r w:rsidRPr="000768F8">
        <w:rPr>
          <w:rFonts w:ascii="Times New Roman" w:hAnsi="Times New Roman"/>
          <w:i/>
          <w:lang w:eastAsia="it-IT"/>
        </w:rPr>
        <w:t xml:space="preserve">Federica Napolitani, Istituto Superiore di Sanità, Viale Regina Elena 299, 00161 Rome, Italy. </w:t>
      </w:r>
      <w:r w:rsidR="00B246D6">
        <w:rPr>
          <w:rFonts w:ascii="Times New Roman" w:hAnsi="Times New Roman"/>
          <w:i/>
          <w:lang w:eastAsia="it-IT"/>
        </w:rPr>
        <w:t xml:space="preserve">Tel +39 06 </w:t>
      </w:r>
      <w:r w:rsidRPr="000768F8">
        <w:rPr>
          <w:rFonts w:ascii="Times New Roman" w:hAnsi="Times New Roman"/>
          <w:i/>
          <w:lang w:eastAsia="it-IT"/>
        </w:rPr>
        <w:t xml:space="preserve">49902945, </w:t>
      </w:r>
      <w:r w:rsidR="00B246D6">
        <w:rPr>
          <w:rFonts w:ascii="Times New Roman" w:hAnsi="Times New Roman"/>
          <w:i/>
          <w:lang w:eastAsia="it-IT"/>
        </w:rPr>
        <w:t xml:space="preserve">fax +39 06 </w:t>
      </w:r>
      <w:r w:rsidRPr="000768F8">
        <w:rPr>
          <w:rFonts w:ascii="Times New Roman" w:hAnsi="Times New Roman"/>
          <w:i/>
          <w:lang w:eastAsia="it-IT"/>
        </w:rPr>
        <w:t xml:space="preserve">49902253. E-mail: </w:t>
      </w:r>
      <w:hyperlink r:id="rId7" w:history="1">
        <w:r w:rsidRPr="000768F8">
          <w:rPr>
            <w:rStyle w:val="Lienhypertexte"/>
            <w:rFonts w:ascii="Times New Roman" w:hAnsi="Times New Roman"/>
            <w:i/>
            <w:lang w:eastAsia="it-IT"/>
          </w:rPr>
          <w:t>federica.napolitani@iss.it</w:t>
        </w:r>
      </w:hyperlink>
      <w:r w:rsidRPr="000768F8">
        <w:rPr>
          <w:rFonts w:ascii="Times New Roman" w:hAnsi="Times New Roman"/>
          <w:i/>
          <w:lang w:eastAsia="it-IT"/>
        </w:rPr>
        <w:t xml:space="preserve">, </w:t>
      </w:r>
    </w:p>
    <w:p w:rsidR="005E6F30" w:rsidRDefault="000768F8" w:rsidP="000E0AC4">
      <w:pPr>
        <w:spacing w:line="360" w:lineRule="auto"/>
        <w:jc w:val="both"/>
        <w:rPr>
          <w:lang w:val="en-GB"/>
        </w:rPr>
      </w:pPr>
      <w:r>
        <w:rPr>
          <w:lang w:val="en-GB"/>
        </w:rPr>
        <w:t xml:space="preserve"> </w:t>
      </w:r>
    </w:p>
    <w:p w:rsidR="00B46AF4" w:rsidRDefault="00B46AF4" w:rsidP="000E0AC4">
      <w:pPr>
        <w:spacing w:line="360" w:lineRule="auto"/>
        <w:jc w:val="both"/>
        <w:rPr>
          <w:lang w:val="en-GB"/>
        </w:rPr>
      </w:pPr>
    </w:p>
    <w:p w:rsidR="0087071C" w:rsidRDefault="0087071C" w:rsidP="000E0AC4">
      <w:pPr>
        <w:spacing w:line="360" w:lineRule="auto"/>
        <w:jc w:val="both"/>
        <w:rPr>
          <w:lang w:val="en-GB"/>
        </w:rPr>
      </w:pPr>
    </w:p>
    <w:p w:rsidR="00595760" w:rsidRDefault="00AD5487" w:rsidP="00B46AF4">
      <w:pPr>
        <w:spacing w:line="480" w:lineRule="auto"/>
        <w:jc w:val="both"/>
        <w:rPr>
          <w:lang w:val="en-GB"/>
        </w:rPr>
      </w:pPr>
      <w:r w:rsidRPr="00AD5487">
        <w:rPr>
          <w:lang w:val="en-GB"/>
        </w:rPr>
        <w:t xml:space="preserve">Invisibility can be an asset </w:t>
      </w:r>
      <w:r>
        <w:rPr>
          <w:lang w:val="en-GB"/>
        </w:rPr>
        <w:t>in many circum</w:t>
      </w:r>
      <w:r w:rsidR="00124AEB">
        <w:rPr>
          <w:lang w:val="en-GB"/>
        </w:rPr>
        <w:t xml:space="preserve">stances. </w:t>
      </w:r>
      <w:r w:rsidR="0087071C">
        <w:rPr>
          <w:lang w:val="en-GB"/>
        </w:rPr>
        <w:t xml:space="preserve">In the natural world </w:t>
      </w:r>
      <w:r w:rsidR="00FA18B4">
        <w:rPr>
          <w:lang w:val="en-GB"/>
        </w:rPr>
        <w:t>this supreme form o</w:t>
      </w:r>
      <w:r w:rsidR="00D76959">
        <w:rPr>
          <w:lang w:val="en-GB"/>
        </w:rPr>
        <w:t>f ca</w:t>
      </w:r>
      <w:r w:rsidR="00831806">
        <w:rPr>
          <w:lang w:val="en-GB"/>
        </w:rPr>
        <w:t>mouflage can save your life;</w:t>
      </w:r>
      <w:r w:rsidR="00C37AA4">
        <w:rPr>
          <w:lang w:val="en-GB"/>
        </w:rPr>
        <w:t xml:space="preserve"> </w:t>
      </w:r>
      <w:r w:rsidR="00831806">
        <w:rPr>
          <w:lang w:val="en-GB"/>
        </w:rPr>
        <w:t xml:space="preserve">in a military action </w:t>
      </w:r>
      <w:r w:rsidR="00C37AA4">
        <w:rPr>
          <w:lang w:val="en-GB"/>
        </w:rPr>
        <w:t xml:space="preserve">it can </w:t>
      </w:r>
      <w:r w:rsidR="00831806">
        <w:rPr>
          <w:lang w:val="en-GB"/>
        </w:rPr>
        <w:t>decide the fate of a battle</w:t>
      </w:r>
      <w:r w:rsidR="00D76959">
        <w:rPr>
          <w:lang w:val="en-GB"/>
        </w:rPr>
        <w:t>.</w:t>
      </w:r>
      <w:r w:rsidR="00333D47">
        <w:rPr>
          <w:lang w:val="en-GB"/>
        </w:rPr>
        <w:t xml:space="preserve"> </w:t>
      </w:r>
      <w:r w:rsidR="00C37AA4">
        <w:rPr>
          <w:lang w:val="en-GB"/>
        </w:rPr>
        <w:t xml:space="preserve">But no one in the scientific community of researchers would like to wear an </w:t>
      </w:r>
      <w:r w:rsidR="00A26C04">
        <w:rPr>
          <w:lang w:val="en-GB"/>
        </w:rPr>
        <w:t>invisibility</w:t>
      </w:r>
      <w:r w:rsidR="00D76959">
        <w:rPr>
          <w:lang w:val="en-GB"/>
        </w:rPr>
        <w:t xml:space="preserve"> cloak</w:t>
      </w:r>
      <w:r w:rsidR="00C37AA4">
        <w:rPr>
          <w:lang w:val="en-GB"/>
        </w:rPr>
        <w:t>. On the contrary</w:t>
      </w:r>
      <w:r w:rsidR="00E357BD">
        <w:rPr>
          <w:lang w:val="en-GB"/>
        </w:rPr>
        <w:t>,</w:t>
      </w:r>
      <w:r w:rsidR="0087071C">
        <w:rPr>
          <w:lang w:val="en-GB"/>
        </w:rPr>
        <w:t xml:space="preserve"> the</w:t>
      </w:r>
      <w:r w:rsidR="00303665">
        <w:rPr>
          <w:lang w:val="en-GB"/>
        </w:rPr>
        <w:t xml:space="preserve"> </w:t>
      </w:r>
      <w:r w:rsidR="00E357BD">
        <w:rPr>
          <w:lang w:val="en-GB"/>
        </w:rPr>
        <w:t>‘</w:t>
      </w:r>
      <w:r w:rsidR="00C37AA4">
        <w:rPr>
          <w:lang w:val="en-GB"/>
        </w:rPr>
        <w:t>publish or perish</w:t>
      </w:r>
      <w:r w:rsidR="00E357BD">
        <w:rPr>
          <w:lang w:val="en-GB"/>
        </w:rPr>
        <w:t>’</w:t>
      </w:r>
      <w:r w:rsidR="00C37AA4">
        <w:rPr>
          <w:lang w:val="en-GB"/>
        </w:rPr>
        <w:t xml:space="preserve"> </w:t>
      </w:r>
      <w:r w:rsidR="008B2792">
        <w:rPr>
          <w:lang w:val="en-GB"/>
        </w:rPr>
        <w:t>well</w:t>
      </w:r>
      <w:r w:rsidR="00F8284A">
        <w:rPr>
          <w:lang w:val="en-GB"/>
        </w:rPr>
        <w:t>-</w:t>
      </w:r>
      <w:r w:rsidR="008B2792">
        <w:rPr>
          <w:lang w:val="en-GB"/>
        </w:rPr>
        <w:t xml:space="preserve">known </w:t>
      </w:r>
      <w:r w:rsidR="00E357BD">
        <w:rPr>
          <w:lang w:val="en-GB"/>
        </w:rPr>
        <w:t>principle show</w:t>
      </w:r>
      <w:r w:rsidR="00C26E4B">
        <w:rPr>
          <w:lang w:val="en-GB"/>
        </w:rPr>
        <w:t xml:space="preserve">s how important </w:t>
      </w:r>
      <w:r w:rsidR="006A04B6">
        <w:rPr>
          <w:lang w:val="en-GB"/>
        </w:rPr>
        <w:t xml:space="preserve">it </w:t>
      </w:r>
      <w:r w:rsidR="00C26E4B">
        <w:rPr>
          <w:lang w:val="en-GB"/>
        </w:rPr>
        <w:t xml:space="preserve">is to be </w:t>
      </w:r>
      <w:r w:rsidR="00AC1595">
        <w:rPr>
          <w:lang w:val="en-GB"/>
        </w:rPr>
        <w:t>out there,</w:t>
      </w:r>
      <w:r w:rsidR="00544194">
        <w:rPr>
          <w:lang w:val="en-GB"/>
        </w:rPr>
        <w:t xml:space="preserve"> in the </w:t>
      </w:r>
      <w:r w:rsidR="007D5EE4">
        <w:rPr>
          <w:lang w:val="en-GB"/>
        </w:rPr>
        <w:t xml:space="preserve">world of science communication and </w:t>
      </w:r>
      <w:r w:rsidR="00831806">
        <w:rPr>
          <w:lang w:val="en-GB"/>
        </w:rPr>
        <w:t xml:space="preserve">of </w:t>
      </w:r>
      <w:r w:rsidR="007D5EE4">
        <w:rPr>
          <w:lang w:val="en-GB"/>
        </w:rPr>
        <w:t>science editing</w:t>
      </w:r>
      <w:r w:rsidR="00AC1595">
        <w:rPr>
          <w:lang w:val="en-GB"/>
        </w:rPr>
        <w:t>,</w:t>
      </w:r>
      <w:r w:rsidR="00D026AE">
        <w:rPr>
          <w:lang w:val="en-GB"/>
        </w:rPr>
        <w:t xml:space="preserve"> t</w:t>
      </w:r>
      <w:r w:rsidR="00C26E4B">
        <w:rPr>
          <w:lang w:val="en-GB"/>
        </w:rPr>
        <w:t>o be know</w:t>
      </w:r>
      <w:r w:rsidR="00D026AE">
        <w:rPr>
          <w:lang w:val="en-GB"/>
        </w:rPr>
        <w:t>n and to be cited.</w:t>
      </w:r>
      <w:r w:rsidR="007179D0">
        <w:rPr>
          <w:lang w:val="en-GB"/>
        </w:rPr>
        <w:t xml:space="preserve"> </w:t>
      </w:r>
      <w:r w:rsidR="00F8284A">
        <w:rPr>
          <w:lang w:val="en-GB"/>
        </w:rPr>
        <w:t xml:space="preserve"> </w:t>
      </w:r>
    </w:p>
    <w:p w:rsidR="00A26C04" w:rsidRDefault="00595760" w:rsidP="00B46AF4">
      <w:pPr>
        <w:spacing w:line="480" w:lineRule="auto"/>
        <w:jc w:val="both"/>
        <w:rPr>
          <w:lang w:val="en-GB"/>
        </w:rPr>
      </w:pPr>
      <w:r>
        <w:rPr>
          <w:lang w:val="en-GB"/>
        </w:rPr>
        <w:t>However, while</w:t>
      </w:r>
      <w:r w:rsidR="00A5501A">
        <w:rPr>
          <w:lang w:val="en-GB"/>
        </w:rPr>
        <w:t xml:space="preserve"> researchers, </w:t>
      </w:r>
      <w:r w:rsidR="00AC1595">
        <w:rPr>
          <w:lang w:val="en-GB"/>
        </w:rPr>
        <w:t>academics and</w:t>
      </w:r>
      <w:r w:rsidR="00B8554B">
        <w:rPr>
          <w:lang w:val="en-GB"/>
        </w:rPr>
        <w:t xml:space="preserve"> clinicians </w:t>
      </w:r>
      <w:r w:rsidR="00333D47">
        <w:rPr>
          <w:lang w:val="en-GB"/>
        </w:rPr>
        <w:t xml:space="preserve">can </w:t>
      </w:r>
      <w:r w:rsidR="00A26C04">
        <w:rPr>
          <w:lang w:val="en-GB"/>
        </w:rPr>
        <w:t>usually</w:t>
      </w:r>
      <w:r w:rsidR="00333D47">
        <w:rPr>
          <w:lang w:val="en-GB"/>
        </w:rPr>
        <w:t xml:space="preserve"> </w:t>
      </w:r>
      <w:r w:rsidR="00C664FC">
        <w:rPr>
          <w:lang w:val="en-GB"/>
        </w:rPr>
        <w:t xml:space="preserve">see their efforts </w:t>
      </w:r>
      <w:r w:rsidR="00CB400F">
        <w:rPr>
          <w:lang w:val="en-GB"/>
        </w:rPr>
        <w:t xml:space="preserve">acknowledged </w:t>
      </w:r>
      <w:r w:rsidR="002249CF">
        <w:rPr>
          <w:lang w:val="en-GB"/>
        </w:rPr>
        <w:t>within the research community</w:t>
      </w:r>
      <w:r w:rsidR="0087071C">
        <w:rPr>
          <w:lang w:val="en-GB"/>
        </w:rPr>
        <w:t xml:space="preserve">, </w:t>
      </w:r>
      <w:r>
        <w:rPr>
          <w:lang w:val="en-GB"/>
        </w:rPr>
        <w:t xml:space="preserve">biobankers </w:t>
      </w:r>
      <w:r w:rsidR="00AC1595">
        <w:rPr>
          <w:lang w:val="en-GB"/>
        </w:rPr>
        <w:t xml:space="preserve">– </w:t>
      </w:r>
      <w:r w:rsidR="00333D47">
        <w:rPr>
          <w:lang w:val="en-GB"/>
        </w:rPr>
        <w:t xml:space="preserve">and </w:t>
      </w:r>
      <w:r w:rsidR="009B5089">
        <w:rPr>
          <w:lang w:val="en-GB"/>
        </w:rPr>
        <w:t xml:space="preserve">the </w:t>
      </w:r>
      <w:r w:rsidR="00EF3AAF">
        <w:rPr>
          <w:lang w:val="en-GB"/>
        </w:rPr>
        <w:t>biobank</w:t>
      </w:r>
      <w:r w:rsidR="006A04B6">
        <w:rPr>
          <w:lang w:val="en-GB"/>
        </w:rPr>
        <w:t>ing community</w:t>
      </w:r>
      <w:r w:rsidR="00333D47">
        <w:rPr>
          <w:lang w:val="en-GB"/>
        </w:rPr>
        <w:t xml:space="preserve"> </w:t>
      </w:r>
      <w:r w:rsidR="00CB400F">
        <w:rPr>
          <w:lang w:val="en-GB"/>
        </w:rPr>
        <w:t xml:space="preserve">– </w:t>
      </w:r>
      <w:r w:rsidR="00F64BFC">
        <w:rPr>
          <w:lang w:val="en-GB"/>
        </w:rPr>
        <w:t xml:space="preserve">can </w:t>
      </w:r>
      <w:r w:rsidR="00CB400F">
        <w:rPr>
          <w:lang w:val="en-GB"/>
        </w:rPr>
        <w:t xml:space="preserve">rarely </w:t>
      </w:r>
      <w:r w:rsidR="00220842">
        <w:rPr>
          <w:lang w:val="en-GB"/>
        </w:rPr>
        <w:t>receive</w:t>
      </w:r>
      <w:r w:rsidR="00C664FC">
        <w:rPr>
          <w:lang w:val="en-GB"/>
        </w:rPr>
        <w:t xml:space="preserve"> a recognition of the</w:t>
      </w:r>
      <w:r w:rsidR="00AC1595">
        <w:rPr>
          <w:lang w:val="en-GB"/>
        </w:rPr>
        <w:t xml:space="preserve">ir work </w:t>
      </w:r>
      <w:r w:rsidR="00367A39">
        <w:rPr>
          <w:lang w:val="en-GB"/>
        </w:rPr>
        <w:t xml:space="preserve">of setting up and maintaining a bioresource </w:t>
      </w:r>
      <w:r w:rsidR="00AC1595">
        <w:rPr>
          <w:lang w:val="en-GB"/>
        </w:rPr>
        <w:t>and enjoy the benefits</w:t>
      </w:r>
      <w:r w:rsidR="00C664FC">
        <w:rPr>
          <w:lang w:val="en-GB"/>
        </w:rPr>
        <w:t xml:space="preserve"> of the impact of their efforts</w:t>
      </w:r>
      <w:r w:rsidR="00A26C04">
        <w:rPr>
          <w:lang w:val="en-GB"/>
        </w:rPr>
        <w:t>.</w:t>
      </w:r>
    </w:p>
    <w:p w:rsidR="00967012" w:rsidRDefault="002E5F4C" w:rsidP="00B46AF4">
      <w:pPr>
        <w:spacing w:line="480" w:lineRule="auto"/>
        <w:jc w:val="both"/>
        <w:rPr>
          <w:lang w:val="en-GB"/>
        </w:rPr>
      </w:pPr>
      <w:r>
        <w:rPr>
          <w:lang w:val="en-GB"/>
        </w:rPr>
        <w:lastRenderedPageBreak/>
        <w:t>E</w:t>
      </w:r>
      <w:r w:rsidR="00D25B02">
        <w:rPr>
          <w:lang w:val="en-GB"/>
        </w:rPr>
        <w:t xml:space="preserve">ven though an increasing portion of biomedical research </w:t>
      </w:r>
      <w:r w:rsidR="00C837A8">
        <w:rPr>
          <w:lang w:val="en-GB"/>
        </w:rPr>
        <w:t>today</w:t>
      </w:r>
      <w:r>
        <w:rPr>
          <w:lang w:val="en-GB"/>
        </w:rPr>
        <w:t xml:space="preserve"> re</w:t>
      </w:r>
      <w:r w:rsidR="008C1F94">
        <w:rPr>
          <w:lang w:val="en-GB"/>
        </w:rPr>
        <w:t>lies on the use of bioresources (</w:t>
      </w:r>
      <w:r w:rsidR="006C54D9">
        <w:rPr>
          <w:lang w:val="en-GB"/>
        </w:rPr>
        <w:t xml:space="preserve">1), </w:t>
      </w:r>
      <w:r>
        <w:rPr>
          <w:lang w:val="en-GB"/>
        </w:rPr>
        <w:t>this us</w:t>
      </w:r>
      <w:r w:rsidR="006C54D9">
        <w:rPr>
          <w:lang w:val="en-GB"/>
        </w:rPr>
        <w:t xml:space="preserve">e is </w:t>
      </w:r>
      <w:r w:rsidR="006C54D9" w:rsidRPr="006C54D9">
        <w:rPr>
          <w:i/>
          <w:lang w:val="en-GB"/>
        </w:rPr>
        <w:t>de facto</w:t>
      </w:r>
      <w:r w:rsidR="008C1F94">
        <w:rPr>
          <w:lang w:val="en-GB"/>
        </w:rPr>
        <w:t xml:space="preserve"> not retrievable. </w:t>
      </w:r>
      <w:r w:rsidR="00C5681D">
        <w:rPr>
          <w:lang w:val="en-GB"/>
        </w:rPr>
        <w:t xml:space="preserve">It </w:t>
      </w:r>
      <w:r w:rsidR="00A308B9">
        <w:rPr>
          <w:lang w:val="en-GB"/>
        </w:rPr>
        <w:t xml:space="preserve">is </w:t>
      </w:r>
      <w:r w:rsidR="00A50CC1">
        <w:rPr>
          <w:lang w:val="en-GB"/>
        </w:rPr>
        <w:t>usually invisible.</w:t>
      </w:r>
      <w:r w:rsidR="00D1683D">
        <w:rPr>
          <w:lang w:val="en-GB"/>
        </w:rPr>
        <w:t xml:space="preserve"> </w:t>
      </w:r>
      <w:r w:rsidR="00B54F85">
        <w:rPr>
          <w:lang w:val="en-GB"/>
        </w:rPr>
        <w:t xml:space="preserve">At present, </w:t>
      </w:r>
      <w:r w:rsidR="00C06114">
        <w:rPr>
          <w:lang w:val="en-GB"/>
        </w:rPr>
        <w:t>b</w:t>
      </w:r>
      <w:r w:rsidR="0024766D">
        <w:rPr>
          <w:lang w:val="en-GB"/>
        </w:rPr>
        <w:t>iobankers</w:t>
      </w:r>
      <w:r w:rsidR="00967012">
        <w:rPr>
          <w:lang w:val="en-GB"/>
        </w:rPr>
        <w:t xml:space="preserve"> </w:t>
      </w:r>
      <w:r w:rsidR="00A308B9">
        <w:rPr>
          <w:lang w:val="en-GB"/>
        </w:rPr>
        <w:t xml:space="preserve">are not </w:t>
      </w:r>
      <w:r w:rsidR="00967012">
        <w:rPr>
          <w:lang w:val="en-GB"/>
        </w:rPr>
        <w:t xml:space="preserve">able to see </w:t>
      </w:r>
      <w:r w:rsidR="008C1F94">
        <w:rPr>
          <w:lang w:val="en-GB"/>
        </w:rPr>
        <w:t xml:space="preserve">precisely </w:t>
      </w:r>
      <w:r w:rsidR="00967012">
        <w:rPr>
          <w:lang w:val="en-GB"/>
        </w:rPr>
        <w:t xml:space="preserve">how many (and which) studies </w:t>
      </w:r>
      <w:r w:rsidR="00A308B9">
        <w:rPr>
          <w:lang w:val="en-GB"/>
        </w:rPr>
        <w:t>are based on</w:t>
      </w:r>
      <w:r w:rsidR="00967012">
        <w:rPr>
          <w:lang w:val="en-GB"/>
        </w:rPr>
        <w:t xml:space="preserve"> </w:t>
      </w:r>
      <w:r w:rsidR="00D1683D">
        <w:rPr>
          <w:lang w:val="en-GB"/>
        </w:rPr>
        <w:t xml:space="preserve">the use of </w:t>
      </w:r>
      <w:r w:rsidR="00967012">
        <w:rPr>
          <w:lang w:val="en-GB"/>
        </w:rPr>
        <w:t xml:space="preserve">a specific </w:t>
      </w:r>
      <w:r w:rsidR="00112A48">
        <w:rPr>
          <w:lang w:val="en-GB"/>
        </w:rPr>
        <w:t>collection</w:t>
      </w:r>
      <w:r w:rsidR="009B5089">
        <w:rPr>
          <w:lang w:val="en-GB"/>
        </w:rPr>
        <w:t>/dataset</w:t>
      </w:r>
      <w:r w:rsidR="00A308B9">
        <w:rPr>
          <w:lang w:val="en-GB"/>
        </w:rPr>
        <w:t>.</w:t>
      </w:r>
      <w:r w:rsidR="00967012">
        <w:rPr>
          <w:lang w:val="en-GB"/>
        </w:rPr>
        <w:t xml:space="preserve">  </w:t>
      </w:r>
      <w:r w:rsidR="00A308B9">
        <w:rPr>
          <w:lang w:val="en-GB"/>
        </w:rPr>
        <w:t>T</w:t>
      </w:r>
      <w:r w:rsidR="00AC1595">
        <w:rPr>
          <w:lang w:val="en-GB"/>
        </w:rPr>
        <w:t>hey</w:t>
      </w:r>
      <w:r w:rsidR="00A5501A">
        <w:rPr>
          <w:lang w:val="en-GB"/>
        </w:rPr>
        <w:t xml:space="preserve"> </w:t>
      </w:r>
      <w:r w:rsidR="00A308B9">
        <w:rPr>
          <w:lang w:val="en-GB"/>
        </w:rPr>
        <w:t xml:space="preserve">cannot </w:t>
      </w:r>
      <w:r w:rsidR="00A5501A">
        <w:rPr>
          <w:lang w:val="en-GB"/>
        </w:rPr>
        <w:t xml:space="preserve">clearly </w:t>
      </w:r>
      <w:r w:rsidR="00354988">
        <w:rPr>
          <w:lang w:val="en-GB"/>
        </w:rPr>
        <w:t xml:space="preserve">identify and </w:t>
      </w:r>
      <w:r w:rsidR="00A5501A">
        <w:rPr>
          <w:lang w:val="en-GB"/>
        </w:rPr>
        <w:t xml:space="preserve">trace </w:t>
      </w:r>
      <w:r w:rsidR="00A308B9">
        <w:rPr>
          <w:lang w:val="en-GB"/>
        </w:rPr>
        <w:t>this use</w:t>
      </w:r>
      <w:r w:rsidR="00A5501A">
        <w:rPr>
          <w:lang w:val="en-GB"/>
        </w:rPr>
        <w:t xml:space="preserve"> in </w:t>
      </w:r>
      <w:r w:rsidR="00354988">
        <w:rPr>
          <w:lang w:val="en-GB"/>
        </w:rPr>
        <w:t>scientific</w:t>
      </w:r>
      <w:r w:rsidR="00A5501A">
        <w:rPr>
          <w:lang w:val="en-GB"/>
        </w:rPr>
        <w:t xml:space="preserve"> literature</w:t>
      </w:r>
      <w:r w:rsidR="00354988">
        <w:rPr>
          <w:lang w:val="en-GB"/>
        </w:rPr>
        <w:t xml:space="preserve"> and in PubMed</w:t>
      </w:r>
      <w:r w:rsidR="00A308B9">
        <w:rPr>
          <w:lang w:val="en-GB"/>
        </w:rPr>
        <w:t>. T</w:t>
      </w:r>
      <w:r w:rsidR="00AC1595">
        <w:rPr>
          <w:lang w:val="en-GB"/>
        </w:rPr>
        <w:t>hey</w:t>
      </w:r>
      <w:r w:rsidR="00967012">
        <w:rPr>
          <w:lang w:val="en-GB"/>
        </w:rPr>
        <w:t xml:space="preserve"> </w:t>
      </w:r>
      <w:r w:rsidR="00A308B9">
        <w:rPr>
          <w:lang w:val="en-GB"/>
        </w:rPr>
        <w:t xml:space="preserve">cannot </w:t>
      </w:r>
      <w:r w:rsidR="00967012">
        <w:rPr>
          <w:lang w:val="en-GB"/>
        </w:rPr>
        <w:t xml:space="preserve">measure </w:t>
      </w:r>
      <w:r w:rsidR="008C1F94">
        <w:rPr>
          <w:lang w:val="en-GB"/>
        </w:rPr>
        <w:t>its</w:t>
      </w:r>
      <w:r w:rsidR="00A308B9">
        <w:rPr>
          <w:lang w:val="en-GB"/>
        </w:rPr>
        <w:t xml:space="preserve"> impact with</w:t>
      </w:r>
      <w:r w:rsidR="00967012">
        <w:rPr>
          <w:lang w:val="en-GB"/>
        </w:rPr>
        <w:t xml:space="preserve"> </w:t>
      </w:r>
      <w:r w:rsidR="00112A48">
        <w:rPr>
          <w:lang w:val="en-GB"/>
        </w:rPr>
        <w:t>a variety of</w:t>
      </w:r>
      <w:r w:rsidR="008C1F94">
        <w:rPr>
          <w:lang w:val="en-GB"/>
        </w:rPr>
        <w:t xml:space="preserve"> </w:t>
      </w:r>
      <w:r w:rsidR="00A308B9">
        <w:rPr>
          <w:lang w:val="en-GB"/>
        </w:rPr>
        <w:t>citation metrics.</w:t>
      </w:r>
      <w:r w:rsidR="00967012">
        <w:rPr>
          <w:lang w:val="en-GB"/>
        </w:rPr>
        <w:t xml:space="preserve"> </w:t>
      </w:r>
      <w:r w:rsidR="006C54D9">
        <w:rPr>
          <w:lang w:val="en-GB"/>
        </w:rPr>
        <w:t xml:space="preserve"> </w:t>
      </w:r>
      <w:r>
        <w:rPr>
          <w:lang w:val="en-GB"/>
        </w:rPr>
        <w:t>N</w:t>
      </w:r>
      <w:r w:rsidR="00967012">
        <w:rPr>
          <w:lang w:val="en-GB"/>
        </w:rPr>
        <w:t>ot yet.</w:t>
      </w:r>
    </w:p>
    <w:p w:rsidR="00A50CC1" w:rsidRDefault="00F64BFC" w:rsidP="00B46AF4">
      <w:pPr>
        <w:spacing w:line="480" w:lineRule="auto"/>
        <w:jc w:val="both"/>
        <w:rPr>
          <w:lang w:val="en-GB"/>
        </w:rPr>
      </w:pPr>
      <w:r>
        <w:rPr>
          <w:lang w:val="en-GB"/>
        </w:rPr>
        <w:t>The reason is simply that</w:t>
      </w:r>
      <w:r w:rsidR="008C1F94">
        <w:rPr>
          <w:lang w:val="en-GB"/>
        </w:rPr>
        <w:t xml:space="preserve"> the </w:t>
      </w:r>
      <w:r w:rsidR="00E50FFF">
        <w:rPr>
          <w:lang w:val="en-GB"/>
        </w:rPr>
        <w:t xml:space="preserve">tools available </w:t>
      </w:r>
      <w:r w:rsidR="00946AFD">
        <w:rPr>
          <w:lang w:val="en-GB"/>
        </w:rPr>
        <w:t xml:space="preserve">today </w:t>
      </w:r>
      <w:r w:rsidR="00E50FFF">
        <w:rPr>
          <w:lang w:val="en-GB"/>
        </w:rPr>
        <w:t>for dissem</w:t>
      </w:r>
      <w:r w:rsidR="00ED7990">
        <w:rPr>
          <w:lang w:val="en-GB"/>
        </w:rPr>
        <w:t xml:space="preserve">inating and boosting research </w:t>
      </w:r>
      <w:r w:rsidR="00E50FFF">
        <w:rPr>
          <w:lang w:val="en-GB"/>
        </w:rPr>
        <w:t xml:space="preserve">worldwide are not </w:t>
      </w:r>
      <w:r w:rsidR="00A50CC1">
        <w:rPr>
          <w:lang w:val="en-GB"/>
        </w:rPr>
        <w:t xml:space="preserve">yet </w:t>
      </w:r>
      <w:r w:rsidR="00E50FFF">
        <w:rPr>
          <w:lang w:val="en-GB"/>
        </w:rPr>
        <w:t>set up to include the specific contribution of bioreso</w:t>
      </w:r>
      <w:r w:rsidR="00A50CC1">
        <w:rPr>
          <w:lang w:val="en-GB"/>
        </w:rPr>
        <w:t>urces to scientific knowledge.</w:t>
      </w:r>
      <w:r w:rsidR="00D40532">
        <w:rPr>
          <w:lang w:val="en-GB"/>
        </w:rPr>
        <w:t xml:space="preserve"> </w:t>
      </w:r>
    </w:p>
    <w:p w:rsidR="00A50CC1" w:rsidRDefault="00946AFD" w:rsidP="00B46AF4">
      <w:pPr>
        <w:spacing w:line="480" w:lineRule="auto"/>
        <w:jc w:val="both"/>
        <w:rPr>
          <w:lang w:val="en-GB"/>
        </w:rPr>
      </w:pPr>
      <w:r>
        <w:rPr>
          <w:lang w:val="en-GB"/>
        </w:rPr>
        <w:t xml:space="preserve">But which </w:t>
      </w:r>
      <w:r w:rsidR="00E25BE7">
        <w:rPr>
          <w:lang w:val="en-GB"/>
        </w:rPr>
        <w:t>are these tools</w:t>
      </w:r>
      <w:r w:rsidR="00A50CC1">
        <w:rPr>
          <w:lang w:val="en-GB"/>
        </w:rPr>
        <w:t xml:space="preserve"> and how are they related to biobanks? </w:t>
      </w:r>
    </w:p>
    <w:p w:rsidR="000E0AC4" w:rsidRDefault="006F3160" w:rsidP="00B46AF4">
      <w:pPr>
        <w:spacing w:line="480" w:lineRule="auto"/>
        <w:jc w:val="both"/>
        <w:rPr>
          <w:lang w:val="en-GB"/>
        </w:rPr>
      </w:pPr>
      <w:r>
        <w:rPr>
          <w:lang w:val="en-GB"/>
        </w:rPr>
        <w:t>Since biomedical research is disseminated</w:t>
      </w:r>
      <w:r w:rsidR="004934BA">
        <w:rPr>
          <w:lang w:val="en-GB"/>
        </w:rPr>
        <w:t xml:space="preserve"> </w:t>
      </w:r>
      <w:r w:rsidR="00E25BE7">
        <w:rPr>
          <w:lang w:val="en-GB"/>
        </w:rPr>
        <w:t>predominantly</w:t>
      </w:r>
      <w:r>
        <w:rPr>
          <w:lang w:val="en-GB"/>
        </w:rPr>
        <w:t xml:space="preserve"> </w:t>
      </w:r>
      <w:r w:rsidR="004934BA">
        <w:rPr>
          <w:lang w:val="en-GB"/>
        </w:rPr>
        <w:t>in journal articles</w:t>
      </w:r>
      <w:r>
        <w:rPr>
          <w:lang w:val="en-GB"/>
        </w:rPr>
        <w:t xml:space="preserve">, </w:t>
      </w:r>
      <w:r w:rsidR="004934BA">
        <w:rPr>
          <w:lang w:val="en-GB"/>
        </w:rPr>
        <w:t xml:space="preserve">this is </w:t>
      </w:r>
      <w:r w:rsidR="00E25BE7">
        <w:rPr>
          <w:lang w:val="en-GB"/>
        </w:rPr>
        <w:t xml:space="preserve">precisely </w:t>
      </w:r>
      <w:r w:rsidR="004934BA">
        <w:rPr>
          <w:lang w:val="en-GB"/>
        </w:rPr>
        <w:t>the level at which the game should be played.</w:t>
      </w:r>
      <w:r w:rsidR="00E15EED">
        <w:rPr>
          <w:lang w:val="en-GB"/>
        </w:rPr>
        <w:t xml:space="preserve"> </w:t>
      </w:r>
      <w:r w:rsidR="002524D2">
        <w:rPr>
          <w:lang w:val="en-GB"/>
        </w:rPr>
        <w:t>It is here that</w:t>
      </w:r>
      <w:r w:rsidR="00E15EED">
        <w:rPr>
          <w:lang w:val="en-GB"/>
        </w:rPr>
        <w:t xml:space="preserve"> an </w:t>
      </w:r>
      <w:r w:rsidR="00E15EED" w:rsidRPr="00544194">
        <w:rPr>
          <w:lang w:val="en-GB"/>
        </w:rPr>
        <w:t xml:space="preserve">appropriate set of tools </w:t>
      </w:r>
      <w:r w:rsidR="00B34DC3">
        <w:rPr>
          <w:lang w:val="en-GB"/>
        </w:rPr>
        <w:t xml:space="preserve">has to </w:t>
      </w:r>
      <w:r w:rsidR="00E15EED" w:rsidRPr="00544194">
        <w:rPr>
          <w:lang w:val="en-GB"/>
        </w:rPr>
        <w:t>be</w:t>
      </w:r>
      <w:r w:rsidR="00E15EED">
        <w:rPr>
          <w:lang w:val="en-GB"/>
        </w:rPr>
        <w:t xml:space="preserve"> </w:t>
      </w:r>
      <w:r w:rsidR="00E15EED" w:rsidRPr="00544194">
        <w:rPr>
          <w:lang w:val="en-GB"/>
        </w:rPr>
        <w:t>developed and implemented</w:t>
      </w:r>
      <w:r w:rsidR="002524D2">
        <w:rPr>
          <w:lang w:val="en-GB"/>
        </w:rPr>
        <w:t>.</w:t>
      </w:r>
      <w:r w:rsidR="00E15EED" w:rsidRPr="00544194">
        <w:rPr>
          <w:lang w:val="en-GB"/>
        </w:rPr>
        <w:t xml:space="preserve"> </w:t>
      </w:r>
      <w:r w:rsidR="002524D2">
        <w:rPr>
          <w:lang w:val="en-GB"/>
        </w:rPr>
        <w:t>A</w:t>
      </w:r>
      <w:r w:rsidR="000E0AC4" w:rsidRPr="001A0E97">
        <w:rPr>
          <w:lang w:val="en-GB"/>
        </w:rPr>
        <w:t>t p</w:t>
      </w:r>
      <w:r w:rsidR="000E0AC4">
        <w:rPr>
          <w:lang w:val="en-GB"/>
        </w:rPr>
        <w:t xml:space="preserve">ublication level, </w:t>
      </w:r>
      <w:r w:rsidR="002524D2">
        <w:rPr>
          <w:lang w:val="en-GB"/>
        </w:rPr>
        <w:t xml:space="preserve">in fact, </w:t>
      </w:r>
      <w:r w:rsidR="000E0AC4" w:rsidRPr="001A0E97">
        <w:rPr>
          <w:lang w:val="en-GB"/>
        </w:rPr>
        <w:t xml:space="preserve">the </w:t>
      </w:r>
      <w:r w:rsidR="000E0AC4">
        <w:rPr>
          <w:lang w:val="en-GB"/>
        </w:rPr>
        <w:t xml:space="preserve">contribution of biobanks </w:t>
      </w:r>
      <w:r w:rsidR="000E0AC4" w:rsidRPr="001A0E97">
        <w:rPr>
          <w:lang w:val="en-GB"/>
        </w:rPr>
        <w:t>is often</w:t>
      </w:r>
      <w:r w:rsidR="004934BA">
        <w:rPr>
          <w:lang w:val="en-GB"/>
        </w:rPr>
        <w:t xml:space="preserve"> </w:t>
      </w:r>
      <w:r w:rsidR="000E0AC4" w:rsidRPr="001A0E97">
        <w:rPr>
          <w:lang w:val="en-GB"/>
        </w:rPr>
        <w:t xml:space="preserve">neglected and/or </w:t>
      </w:r>
      <w:r w:rsidR="000E0AC4">
        <w:rPr>
          <w:lang w:val="en-GB"/>
        </w:rPr>
        <w:t xml:space="preserve">cited </w:t>
      </w:r>
      <w:r w:rsidR="000E0AC4" w:rsidRPr="001A0E97">
        <w:rPr>
          <w:lang w:val="en-GB"/>
        </w:rPr>
        <w:t>heterogeneous</w:t>
      </w:r>
      <w:r w:rsidR="000E0AC4">
        <w:rPr>
          <w:lang w:val="en-GB"/>
        </w:rPr>
        <w:t xml:space="preserve">ly, </w:t>
      </w:r>
      <w:r w:rsidR="002524D2">
        <w:rPr>
          <w:lang w:val="en-GB"/>
        </w:rPr>
        <w:t>and this</w:t>
      </w:r>
      <w:r w:rsidR="000E0AC4">
        <w:rPr>
          <w:lang w:val="en-GB"/>
        </w:rPr>
        <w:t xml:space="preserve"> makes </w:t>
      </w:r>
      <w:r w:rsidR="00B34DC3">
        <w:rPr>
          <w:lang w:val="en-GB"/>
        </w:rPr>
        <w:t>its traceability</w:t>
      </w:r>
      <w:r w:rsidR="000E0AC4">
        <w:rPr>
          <w:lang w:val="en-GB"/>
        </w:rPr>
        <w:t xml:space="preserve"> just </w:t>
      </w:r>
      <w:r w:rsidR="00ED7990">
        <w:rPr>
          <w:lang w:val="en-GB"/>
        </w:rPr>
        <w:t>impossible</w:t>
      </w:r>
      <w:r w:rsidR="00420621">
        <w:rPr>
          <w:lang w:val="en-GB"/>
        </w:rPr>
        <w:t xml:space="preserve"> </w:t>
      </w:r>
      <w:r w:rsidR="000E0AC4">
        <w:rPr>
          <w:lang w:val="en-GB"/>
        </w:rPr>
        <w:t>(</w:t>
      </w:r>
      <w:r w:rsidR="00420621">
        <w:rPr>
          <w:lang w:val="en-GB"/>
        </w:rPr>
        <w:t>1, 2</w:t>
      </w:r>
      <w:r w:rsidR="000E0AC4">
        <w:rPr>
          <w:lang w:val="en-GB"/>
        </w:rPr>
        <w:t>)</w:t>
      </w:r>
      <w:r w:rsidR="000E0AC4" w:rsidRPr="00544194">
        <w:rPr>
          <w:lang w:val="en-GB"/>
        </w:rPr>
        <w:t>.</w:t>
      </w:r>
      <w:r w:rsidR="000E0AC4">
        <w:rPr>
          <w:lang w:val="en-GB"/>
        </w:rPr>
        <w:t xml:space="preserve"> </w:t>
      </w:r>
      <w:r w:rsidR="006421FB">
        <w:rPr>
          <w:lang w:val="en-GB"/>
        </w:rPr>
        <w:t xml:space="preserve">Even if researchers would be willing to give </w:t>
      </w:r>
      <w:r w:rsidR="00420621">
        <w:rPr>
          <w:lang w:val="en-GB"/>
        </w:rPr>
        <w:t xml:space="preserve">the </w:t>
      </w:r>
      <w:r w:rsidR="00A723BA">
        <w:rPr>
          <w:lang w:val="en-GB"/>
        </w:rPr>
        <w:t xml:space="preserve">right </w:t>
      </w:r>
      <w:r w:rsidR="006421FB">
        <w:rPr>
          <w:lang w:val="en-GB"/>
        </w:rPr>
        <w:t>credit</w:t>
      </w:r>
      <w:r w:rsidR="00A723BA">
        <w:rPr>
          <w:lang w:val="en-GB"/>
        </w:rPr>
        <w:t>s</w:t>
      </w:r>
      <w:r w:rsidR="006421FB">
        <w:rPr>
          <w:lang w:val="en-GB"/>
        </w:rPr>
        <w:t xml:space="preserve"> and </w:t>
      </w:r>
      <w:r w:rsidR="00420621">
        <w:rPr>
          <w:lang w:val="en-GB"/>
        </w:rPr>
        <w:t>report in details the contribution of</w:t>
      </w:r>
      <w:r w:rsidR="006421FB">
        <w:rPr>
          <w:lang w:val="en-GB"/>
        </w:rPr>
        <w:t xml:space="preserve"> the </w:t>
      </w:r>
      <w:r w:rsidR="0093630B">
        <w:rPr>
          <w:lang w:val="en-GB"/>
        </w:rPr>
        <w:t xml:space="preserve">biobank(s) </w:t>
      </w:r>
      <w:r w:rsidR="00420621">
        <w:rPr>
          <w:lang w:val="en-GB"/>
        </w:rPr>
        <w:t>used</w:t>
      </w:r>
      <w:r w:rsidR="006421FB">
        <w:rPr>
          <w:lang w:val="en-GB"/>
        </w:rPr>
        <w:t xml:space="preserve">, </w:t>
      </w:r>
      <w:r w:rsidR="001D199A">
        <w:rPr>
          <w:lang w:val="en-GB"/>
        </w:rPr>
        <w:t>they</w:t>
      </w:r>
      <w:r w:rsidR="006421FB">
        <w:rPr>
          <w:lang w:val="en-GB"/>
        </w:rPr>
        <w:t xml:space="preserve"> </w:t>
      </w:r>
      <w:r w:rsidR="00A723BA">
        <w:rPr>
          <w:lang w:val="en-GB"/>
        </w:rPr>
        <w:t xml:space="preserve">actually </w:t>
      </w:r>
      <w:r w:rsidR="001D199A">
        <w:rPr>
          <w:lang w:val="en-GB"/>
        </w:rPr>
        <w:t>have</w:t>
      </w:r>
      <w:r w:rsidR="006421FB">
        <w:rPr>
          <w:lang w:val="en-GB"/>
        </w:rPr>
        <w:t xml:space="preserve"> no standard</w:t>
      </w:r>
      <w:r w:rsidR="00665CF0">
        <w:rPr>
          <w:lang w:val="en-GB"/>
        </w:rPr>
        <w:t>s</w:t>
      </w:r>
      <w:r w:rsidR="006421FB">
        <w:rPr>
          <w:lang w:val="en-GB"/>
        </w:rPr>
        <w:t xml:space="preserve"> to follow</w:t>
      </w:r>
      <w:r w:rsidR="004934BA">
        <w:rPr>
          <w:lang w:val="en-GB"/>
        </w:rPr>
        <w:t xml:space="preserve">, no </w:t>
      </w:r>
      <w:r w:rsidR="00420621">
        <w:rPr>
          <w:lang w:val="en-GB"/>
        </w:rPr>
        <w:t xml:space="preserve">publication </w:t>
      </w:r>
      <w:r w:rsidR="004934BA">
        <w:rPr>
          <w:lang w:val="en-GB"/>
        </w:rPr>
        <w:t>criteria to apply</w:t>
      </w:r>
      <w:r w:rsidR="006421FB">
        <w:rPr>
          <w:lang w:val="en-GB"/>
        </w:rPr>
        <w:t xml:space="preserve">. </w:t>
      </w:r>
    </w:p>
    <w:p w:rsidR="007F33C9" w:rsidRDefault="002524D2" w:rsidP="00B46AF4">
      <w:pPr>
        <w:spacing w:line="480" w:lineRule="auto"/>
        <w:jc w:val="both"/>
        <w:rPr>
          <w:lang w:val="en-GB"/>
        </w:rPr>
      </w:pPr>
      <w:r>
        <w:rPr>
          <w:lang w:val="en-GB"/>
        </w:rPr>
        <w:t xml:space="preserve">To address this important issue, </w:t>
      </w:r>
      <w:r w:rsidR="00550F76">
        <w:rPr>
          <w:lang w:val="en-GB"/>
        </w:rPr>
        <w:t>a</w:t>
      </w:r>
      <w:r w:rsidR="00A723BA">
        <w:rPr>
          <w:lang w:val="en-GB"/>
        </w:rPr>
        <w:t xml:space="preserve"> </w:t>
      </w:r>
      <w:r w:rsidR="0093630B">
        <w:rPr>
          <w:lang w:val="en-GB"/>
        </w:rPr>
        <w:t xml:space="preserve">BRIF and </w:t>
      </w:r>
      <w:r w:rsidR="00A723BA">
        <w:rPr>
          <w:lang w:val="en-GB"/>
        </w:rPr>
        <w:t>j</w:t>
      </w:r>
      <w:r w:rsidR="00E15EED" w:rsidRPr="00D1683D">
        <w:rPr>
          <w:lang w:val="en-GB"/>
        </w:rPr>
        <w:t>ournal editor</w:t>
      </w:r>
      <w:r w:rsidR="00E15EED">
        <w:rPr>
          <w:lang w:val="en-GB"/>
        </w:rPr>
        <w:t>s</w:t>
      </w:r>
      <w:r w:rsidR="00E15EED" w:rsidRPr="00D1683D">
        <w:rPr>
          <w:lang w:val="en-GB"/>
        </w:rPr>
        <w:t xml:space="preserve"> </w:t>
      </w:r>
      <w:r w:rsidR="00752E77">
        <w:rPr>
          <w:lang w:val="en-GB"/>
        </w:rPr>
        <w:t>subgroup</w:t>
      </w:r>
      <w:r w:rsidR="00E15EED" w:rsidRPr="00D1683D">
        <w:rPr>
          <w:lang w:val="en-GB"/>
        </w:rPr>
        <w:t xml:space="preserve"> formed </w:t>
      </w:r>
      <w:r w:rsidR="00550F76">
        <w:rPr>
          <w:lang w:val="en-GB"/>
        </w:rPr>
        <w:t xml:space="preserve">in 2011 </w:t>
      </w:r>
      <w:r w:rsidR="00E15EED" w:rsidRPr="00D1683D">
        <w:rPr>
          <w:lang w:val="en-GB"/>
        </w:rPr>
        <w:t xml:space="preserve">within the Bioresource Research Impact Factor </w:t>
      </w:r>
      <w:r w:rsidR="00E15EED">
        <w:rPr>
          <w:lang w:val="en-GB"/>
        </w:rPr>
        <w:t>(</w:t>
      </w:r>
      <w:r w:rsidR="00E15EED" w:rsidRPr="00D1683D">
        <w:rPr>
          <w:lang w:val="en-GB"/>
        </w:rPr>
        <w:t>BRIF</w:t>
      </w:r>
      <w:r w:rsidR="00E15EED">
        <w:rPr>
          <w:lang w:val="en-GB"/>
        </w:rPr>
        <w:t>)</w:t>
      </w:r>
      <w:r w:rsidR="00E15EED" w:rsidRPr="00D1683D">
        <w:rPr>
          <w:lang w:val="en-GB"/>
        </w:rPr>
        <w:t xml:space="preserve"> </w:t>
      </w:r>
      <w:r w:rsidR="007F33C9" w:rsidRPr="00D1683D">
        <w:rPr>
          <w:lang w:val="en-GB"/>
        </w:rPr>
        <w:t>initiative</w:t>
      </w:r>
      <w:r w:rsidR="007F33C9">
        <w:rPr>
          <w:lang w:val="en-GB"/>
        </w:rPr>
        <w:t>,</w:t>
      </w:r>
      <w:r w:rsidR="00BE0638">
        <w:rPr>
          <w:lang w:val="en-GB"/>
        </w:rPr>
        <w:t xml:space="preserve"> which is more generally aimed </w:t>
      </w:r>
      <w:r w:rsidR="00AE6C70">
        <w:rPr>
          <w:lang w:val="en-GB"/>
        </w:rPr>
        <w:t xml:space="preserve">at assessing the </w:t>
      </w:r>
      <w:r w:rsidR="008101E7">
        <w:rPr>
          <w:lang w:val="en-GB"/>
        </w:rPr>
        <w:t xml:space="preserve">value and impact of bioresources, </w:t>
      </w:r>
      <w:r w:rsidR="00A723BA">
        <w:rPr>
          <w:lang w:val="en-GB"/>
        </w:rPr>
        <w:t>and promoting</w:t>
      </w:r>
      <w:r w:rsidR="00EA3E42">
        <w:rPr>
          <w:lang w:val="en-GB"/>
        </w:rPr>
        <w:t xml:space="preserve"> their sharing </w:t>
      </w:r>
      <w:r w:rsidR="00AE6C70">
        <w:rPr>
          <w:lang w:val="en-GB"/>
        </w:rPr>
        <w:t>(</w:t>
      </w:r>
      <w:r w:rsidR="00BE0638">
        <w:rPr>
          <w:lang w:val="en-GB"/>
        </w:rPr>
        <w:t xml:space="preserve">3, </w:t>
      </w:r>
      <w:r w:rsidR="00AE6C70">
        <w:rPr>
          <w:lang w:val="en-GB"/>
        </w:rPr>
        <w:t>4, 5)</w:t>
      </w:r>
      <w:r w:rsidR="000B3469">
        <w:rPr>
          <w:lang w:val="en-GB"/>
        </w:rPr>
        <w:t xml:space="preserve">. The </w:t>
      </w:r>
      <w:r w:rsidR="00BA0FAD" w:rsidRPr="00BA0FAD">
        <w:rPr>
          <w:lang w:val="en-GB"/>
        </w:rPr>
        <w:t>BRIF and journal editors</w:t>
      </w:r>
      <w:r w:rsidR="00BA0FAD">
        <w:rPr>
          <w:lang w:val="en-GB"/>
        </w:rPr>
        <w:t xml:space="preserve"> </w:t>
      </w:r>
      <w:r w:rsidR="00752E77">
        <w:rPr>
          <w:lang w:val="en-GB"/>
        </w:rPr>
        <w:t>sub</w:t>
      </w:r>
      <w:r w:rsidR="00BA0FAD">
        <w:rPr>
          <w:lang w:val="en-GB"/>
        </w:rPr>
        <w:t xml:space="preserve">group </w:t>
      </w:r>
      <w:r w:rsidR="007F33C9">
        <w:rPr>
          <w:lang w:val="en-GB"/>
        </w:rPr>
        <w:t>was created</w:t>
      </w:r>
      <w:r w:rsidR="000B3469">
        <w:rPr>
          <w:lang w:val="en-GB"/>
        </w:rPr>
        <w:t xml:space="preserve"> </w:t>
      </w:r>
      <w:r w:rsidR="00A723BA">
        <w:rPr>
          <w:lang w:val="en-GB"/>
        </w:rPr>
        <w:t xml:space="preserve">precisely </w:t>
      </w:r>
      <w:r w:rsidR="000B3469">
        <w:rPr>
          <w:lang w:val="en-GB"/>
        </w:rPr>
        <w:t>with the aim to</w:t>
      </w:r>
      <w:r w:rsidR="000E0AC4" w:rsidRPr="0034192F">
        <w:rPr>
          <w:lang w:val="en-GB"/>
        </w:rPr>
        <w:t xml:space="preserve"> </w:t>
      </w:r>
      <w:r w:rsidR="00A723BA">
        <w:rPr>
          <w:lang w:val="en-GB"/>
        </w:rPr>
        <w:t xml:space="preserve">study this issue and to </w:t>
      </w:r>
      <w:r w:rsidR="000E0AC4" w:rsidRPr="0034192F">
        <w:rPr>
          <w:lang w:val="en-GB"/>
        </w:rPr>
        <w:t>build a</w:t>
      </w:r>
      <w:r w:rsidR="000E0AC4">
        <w:rPr>
          <w:lang w:val="en-GB"/>
        </w:rPr>
        <w:t xml:space="preserve"> </w:t>
      </w:r>
      <w:r w:rsidR="000E0AC4" w:rsidRPr="0034192F">
        <w:rPr>
          <w:lang w:val="en-GB"/>
        </w:rPr>
        <w:t xml:space="preserve">standardized and </w:t>
      </w:r>
      <w:r w:rsidR="002C05C7" w:rsidRPr="0034192F">
        <w:rPr>
          <w:lang w:val="en-GB"/>
        </w:rPr>
        <w:t>interoperable</w:t>
      </w:r>
      <w:r w:rsidR="000E0AC4" w:rsidRPr="0034192F">
        <w:rPr>
          <w:lang w:val="en-GB"/>
        </w:rPr>
        <w:t xml:space="preserve"> system </w:t>
      </w:r>
      <w:r w:rsidR="000E0AC4">
        <w:rPr>
          <w:lang w:val="en-GB"/>
        </w:rPr>
        <w:t xml:space="preserve">to </w:t>
      </w:r>
      <w:r w:rsidR="009A1DF7">
        <w:rPr>
          <w:lang w:val="en-GB"/>
        </w:rPr>
        <w:t>highlight</w:t>
      </w:r>
      <w:r w:rsidR="000E0AC4">
        <w:rPr>
          <w:lang w:val="en-GB"/>
        </w:rPr>
        <w:t xml:space="preserve"> and cite </w:t>
      </w:r>
      <w:r w:rsidR="000E0AC4" w:rsidRPr="0034192F">
        <w:rPr>
          <w:lang w:val="en-GB"/>
        </w:rPr>
        <w:t>bioresources</w:t>
      </w:r>
      <w:r w:rsidR="000E0AC4">
        <w:rPr>
          <w:lang w:val="en-GB"/>
        </w:rPr>
        <w:t xml:space="preserve"> </w:t>
      </w:r>
      <w:r w:rsidR="000E0AC4" w:rsidRPr="0034192F">
        <w:rPr>
          <w:lang w:val="en-GB"/>
        </w:rPr>
        <w:t>in journal articles</w:t>
      </w:r>
      <w:r w:rsidR="000E0AC4">
        <w:rPr>
          <w:lang w:val="en-GB"/>
        </w:rPr>
        <w:t xml:space="preserve"> </w:t>
      </w:r>
      <w:r w:rsidR="000E0AC4" w:rsidRPr="00D1683D">
        <w:rPr>
          <w:lang w:val="en-GB"/>
        </w:rPr>
        <w:t>(</w:t>
      </w:r>
      <w:r w:rsidR="007B4B0F">
        <w:rPr>
          <w:lang w:val="en-GB"/>
        </w:rPr>
        <w:t>5</w:t>
      </w:r>
      <w:r w:rsidR="000E0AC4" w:rsidRPr="00D1683D">
        <w:rPr>
          <w:lang w:val="en-GB"/>
        </w:rPr>
        <w:t>)</w:t>
      </w:r>
      <w:r w:rsidR="000E0AC4" w:rsidRPr="0034192F">
        <w:rPr>
          <w:lang w:val="en-GB"/>
        </w:rPr>
        <w:t>.</w:t>
      </w:r>
      <w:r w:rsidR="007F33C9">
        <w:rPr>
          <w:lang w:val="en-GB"/>
        </w:rPr>
        <w:t xml:space="preserve"> </w:t>
      </w:r>
    </w:p>
    <w:p w:rsidR="00005257" w:rsidRDefault="002C05C7" w:rsidP="00B46AF4">
      <w:pPr>
        <w:spacing w:line="480" w:lineRule="auto"/>
        <w:jc w:val="both"/>
        <w:rPr>
          <w:lang w:val="en-GB"/>
        </w:rPr>
      </w:pPr>
      <w:r>
        <w:rPr>
          <w:lang w:val="en-GB"/>
        </w:rPr>
        <w:t>T</w:t>
      </w:r>
      <w:r w:rsidR="00AE5657">
        <w:rPr>
          <w:lang w:val="en-GB"/>
        </w:rPr>
        <w:t xml:space="preserve">he </w:t>
      </w:r>
      <w:r w:rsidR="00752E77">
        <w:rPr>
          <w:lang w:val="en-GB"/>
        </w:rPr>
        <w:t>sub</w:t>
      </w:r>
      <w:r w:rsidR="007F33C9">
        <w:rPr>
          <w:lang w:val="en-GB"/>
        </w:rPr>
        <w:t>g</w:t>
      </w:r>
      <w:r w:rsidR="00112690">
        <w:rPr>
          <w:lang w:val="en-GB"/>
        </w:rPr>
        <w:t>roup</w:t>
      </w:r>
      <w:r>
        <w:rPr>
          <w:lang w:val="en-GB"/>
        </w:rPr>
        <w:t>,</w:t>
      </w:r>
      <w:r w:rsidR="00112690">
        <w:rPr>
          <w:lang w:val="en-GB"/>
        </w:rPr>
        <w:t xml:space="preserve"> </w:t>
      </w:r>
      <w:r>
        <w:rPr>
          <w:lang w:val="en-GB"/>
        </w:rPr>
        <w:t xml:space="preserve">as a first step, </w:t>
      </w:r>
      <w:r w:rsidR="009A1DF7">
        <w:rPr>
          <w:lang w:val="en-GB"/>
        </w:rPr>
        <w:t>performed</w:t>
      </w:r>
      <w:r w:rsidR="00911080">
        <w:rPr>
          <w:lang w:val="en-GB"/>
        </w:rPr>
        <w:t xml:space="preserve"> a series of actions</w:t>
      </w:r>
      <w:r w:rsidR="00AE5657">
        <w:rPr>
          <w:lang w:val="en-GB"/>
        </w:rPr>
        <w:t xml:space="preserve"> </w:t>
      </w:r>
      <w:r w:rsidR="002D288C">
        <w:rPr>
          <w:lang w:val="en-GB"/>
        </w:rPr>
        <w:t xml:space="preserve">to </w:t>
      </w:r>
      <w:r w:rsidR="00911080">
        <w:rPr>
          <w:lang w:val="en-GB"/>
        </w:rPr>
        <w:t>raise awareness among</w:t>
      </w:r>
      <w:r w:rsidR="002D288C">
        <w:rPr>
          <w:lang w:val="en-GB"/>
        </w:rPr>
        <w:t xml:space="preserve"> all stakeholders in the </w:t>
      </w:r>
      <w:r w:rsidR="002031C2">
        <w:rPr>
          <w:lang w:val="en-GB"/>
        </w:rPr>
        <w:t>scientific community</w:t>
      </w:r>
      <w:r w:rsidR="00452E73">
        <w:rPr>
          <w:lang w:val="en-GB"/>
        </w:rPr>
        <w:t xml:space="preserve"> about the relevance of </w:t>
      </w:r>
      <w:r w:rsidR="00911080">
        <w:rPr>
          <w:lang w:val="en-GB"/>
        </w:rPr>
        <w:t>the subject</w:t>
      </w:r>
      <w:r w:rsidR="004934BA">
        <w:rPr>
          <w:lang w:val="en-GB"/>
        </w:rPr>
        <w:t xml:space="preserve">. </w:t>
      </w:r>
      <w:r w:rsidR="00911080">
        <w:rPr>
          <w:lang w:val="en-GB"/>
        </w:rPr>
        <w:t>Science</w:t>
      </w:r>
      <w:r w:rsidR="00452E73">
        <w:rPr>
          <w:lang w:val="en-GB"/>
        </w:rPr>
        <w:t xml:space="preserve"> </w:t>
      </w:r>
      <w:r w:rsidR="0084345F">
        <w:rPr>
          <w:lang w:val="en-GB"/>
        </w:rPr>
        <w:t>editors</w:t>
      </w:r>
      <w:r w:rsidR="00A723BA">
        <w:rPr>
          <w:lang w:val="en-GB"/>
        </w:rPr>
        <w:t>,</w:t>
      </w:r>
      <w:r w:rsidR="004934BA">
        <w:rPr>
          <w:lang w:val="en-GB"/>
        </w:rPr>
        <w:t xml:space="preserve"> </w:t>
      </w:r>
      <w:r w:rsidR="00A723BA">
        <w:rPr>
          <w:lang w:val="en-GB"/>
        </w:rPr>
        <w:t xml:space="preserve">in </w:t>
      </w:r>
      <w:r w:rsidR="00A723BA">
        <w:rPr>
          <w:lang w:val="en-GB"/>
        </w:rPr>
        <w:lastRenderedPageBreak/>
        <w:t xml:space="preserve">particular, </w:t>
      </w:r>
      <w:r w:rsidR="00911080">
        <w:rPr>
          <w:lang w:val="en-GB"/>
        </w:rPr>
        <w:t xml:space="preserve">were involved from the beginning, </w:t>
      </w:r>
      <w:r w:rsidR="004934BA">
        <w:rPr>
          <w:lang w:val="en-GB"/>
        </w:rPr>
        <w:t>because t</w:t>
      </w:r>
      <w:r w:rsidR="00BA0FAD">
        <w:rPr>
          <w:lang w:val="en-GB"/>
        </w:rPr>
        <w:t>heir</w:t>
      </w:r>
      <w:r w:rsidR="00452E73">
        <w:rPr>
          <w:lang w:val="en-GB"/>
        </w:rPr>
        <w:t xml:space="preserve"> </w:t>
      </w:r>
      <w:r w:rsidR="0084345F">
        <w:rPr>
          <w:lang w:val="en-GB"/>
        </w:rPr>
        <w:t xml:space="preserve">role </w:t>
      </w:r>
      <w:r w:rsidR="00BA0FAD">
        <w:rPr>
          <w:lang w:val="en-GB"/>
        </w:rPr>
        <w:t xml:space="preserve">was reputed </w:t>
      </w:r>
      <w:r w:rsidR="00A723BA">
        <w:rPr>
          <w:lang w:val="en-GB"/>
        </w:rPr>
        <w:t>essential</w:t>
      </w:r>
      <w:r w:rsidR="00452E73">
        <w:rPr>
          <w:lang w:val="en-GB"/>
        </w:rPr>
        <w:t xml:space="preserve"> in </w:t>
      </w:r>
      <w:r w:rsidR="00A847B5">
        <w:rPr>
          <w:lang w:val="en-GB"/>
        </w:rPr>
        <w:t>the</w:t>
      </w:r>
      <w:r w:rsidR="00452E73">
        <w:rPr>
          <w:lang w:val="en-GB"/>
        </w:rPr>
        <w:t xml:space="preserve"> process of </w:t>
      </w:r>
      <w:r w:rsidR="004934BA">
        <w:rPr>
          <w:lang w:val="en-GB"/>
        </w:rPr>
        <w:t>setting up standards for publication</w:t>
      </w:r>
      <w:r w:rsidR="00452E73">
        <w:rPr>
          <w:lang w:val="en-GB"/>
        </w:rPr>
        <w:t>,</w:t>
      </w:r>
      <w:r w:rsidR="0084345F">
        <w:rPr>
          <w:lang w:val="en-GB"/>
        </w:rPr>
        <w:t xml:space="preserve"> </w:t>
      </w:r>
      <w:r w:rsidR="00A847B5">
        <w:rPr>
          <w:lang w:val="en-GB"/>
        </w:rPr>
        <w:t>and because</w:t>
      </w:r>
      <w:r w:rsidR="00BA0FAD">
        <w:rPr>
          <w:lang w:val="en-GB"/>
        </w:rPr>
        <w:t xml:space="preserve"> leading</w:t>
      </w:r>
      <w:r w:rsidR="0084345F">
        <w:rPr>
          <w:lang w:val="en-GB"/>
        </w:rPr>
        <w:t xml:space="preserve"> journals </w:t>
      </w:r>
      <w:r w:rsidR="00BA0FAD">
        <w:rPr>
          <w:lang w:val="en-GB"/>
        </w:rPr>
        <w:t>have often proved to</w:t>
      </w:r>
      <w:r w:rsidR="00452E73">
        <w:rPr>
          <w:lang w:val="en-GB"/>
        </w:rPr>
        <w:t xml:space="preserve"> be</w:t>
      </w:r>
      <w:r w:rsidR="0084345F">
        <w:rPr>
          <w:lang w:val="en-GB"/>
        </w:rPr>
        <w:t xml:space="preserve"> trendsetters in introdu</w:t>
      </w:r>
      <w:r>
        <w:rPr>
          <w:lang w:val="en-GB"/>
        </w:rPr>
        <w:t xml:space="preserve">cing new publication criteria (6). </w:t>
      </w:r>
      <w:r w:rsidR="00046B12">
        <w:rPr>
          <w:lang w:val="en-GB"/>
        </w:rPr>
        <w:t>In t</w:t>
      </w:r>
      <w:r w:rsidR="0086368A">
        <w:rPr>
          <w:lang w:val="en-GB"/>
        </w:rPr>
        <w:t xml:space="preserve">his phase, the </w:t>
      </w:r>
      <w:r w:rsidR="00752E77">
        <w:rPr>
          <w:lang w:val="en-GB"/>
        </w:rPr>
        <w:t>sub</w:t>
      </w:r>
      <w:r w:rsidR="0086368A">
        <w:rPr>
          <w:lang w:val="en-GB"/>
        </w:rPr>
        <w:t xml:space="preserve">group </w:t>
      </w:r>
      <w:r w:rsidR="00EC1BC7">
        <w:rPr>
          <w:lang w:val="en-GB"/>
        </w:rPr>
        <w:t xml:space="preserve">also </w:t>
      </w:r>
      <w:r w:rsidR="0086368A">
        <w:rPr>
          <w:lang w:val="en-GB"/>
        </w:rPr>
        <w:t>work</w:t>
      </w:r>
      <w:r w:rsidR="00046B12">
        <w:rPr>
          <w:lang w:val="en-GB"/>
        </w:rPr>
        <w:t xml:space="preserve">ed </w:t>
      </w:r>
      <w:r w:rsidR="00A723BA">
        <w:rPr>
          <w:lang w:val="en-GB"/>
        </w:rPr>
        <w:t xml:space="preserve">on </w:t>
      </w:r>
      <w:r>
        <w:rPr>
          <w:lang w:val="en-GB"/>
        </w:rPr>
        <w:t xml:space="preserve">engaging the science editing network and </w:t>
      </w:r>
      <w:r w:rsidR="00A723BA">
        <w:rPr>
          <w:lang w:val="en-GB"/>
        </w:rPr>
        <w:t>building</w:t>
      </w:r>
      <w:r w:rsidR="00AE5657">
        <w:rPr>
          <w:lang w:val="en-GB"/>
        </w:rPr>
        <w:t xml:space="preserve"> collaborative relat</w:t>
      </w:r>
      <w:r w:rsidR="00EC1BC7">
        <w:rPr>
          <w:lang w:val="en-GB"/>
        </w:rPr>
        <w:t>ionships between institutions</w:t>
      </w:r>
      <w:r>
        <w:rPr>
          <w:lang w:val="en-GB"/>
        </w:rPr>
        <w:t xml:space="preserve"> like </w:t>
      </w:r>
      <w:r w:rsidR="00AE5657">
        <w:rPr>
          <w:lang w:val="en-GB"/>
        </w:rPr>
        <w:t xml:space="preserve">the European Association of Science Editors (EASE), </w:t>
      </w:r>
      <w:r w:rsidR="00112690">
        <w:rPr>
          <w:lang w:val="en-GB"/>
        </w:rPr>
        <w:t xml:space="preserve">the National Library of Medicine (NLM), </w:t>
      </w:r>
      <w:r w:rsidR="00AE5657">
        <w:rPr>
          <w:lang w:val="en-GB"/>
        </w:rPr>
        <w:t>the International Committee of Medical Journal Editors (ICMJE), the Committee on Publication Ethics (COPE), the European Association of Health Information and Libraries (</w:t>
      </w:r>
      <w:r w:rsidR="00112690">
        <w:rPr>
          <w:lang w:val="en-GB"/>
        </w:rPr>
        <w:t>EAHIL)</w:t>
      </w:r>
      <w:r w:rsidR="007F33C9">
        <w:rPr>
          <w:lang w:val="en-GB"/>
        </w:rPr>
        <w:t xml:space="preserve">, </w:t>
      </w:r>
      <w:r w:rsidR="00020039">
        <w:rPr>
          <w:lang w:val="en-GB"/>
        </w:rPr>
        <w:t xml:space="preserve">the </w:t>
      </w:r>
      <w:r w:rsidR="007F33C9">
        <w:rPr>
          <w:lang w:val="en-GB"/>
        </w:rPr>
        <w:t>EQUATOR</w:t>
      </w:r>
      <w:r w:rsidR="00893DF4">
        <w:rPr>
          <w:lang w:val="en-GB"/>
        </w:rPr>
        <w:t xml:space="preserve"> </w:t>
      </w:r>
      <w:r w:rsidR="00893DF4" w:rsidRPr="00893DF4">
        <w:rPr>
          <w:color w:val="FF0000"/>
          <w:lang w:val="en-GB"/>
        </w:rPr>
        <w:t>(Enhancing the QUAlity and Transparency Of health Research)</w:t>
      </w:r>
      <w:r w:rsidR="00893DF4" w:rsidRPr="00893DF4">
        <w:rPr>
          <w:color w:val="FF0000"/>
          <w:sz w:val="22"/>
          <w:szCs w:val="22"/>
          <w:lang w:val="en-US"/>
        </w:rPr>
        <w:t xml:space="preserve"> </w:t>
      </w:r>
      <w:r w:rsidR="00020039">
        <w:rPr>
          <w:lang w:val="en-GB"/>
        </w:rPr>
        <w:t xml:space="preserve">network </w:t>
      </w:r>
      <w:r w:rsidR="00112690">
        <w:rPr>
          <w:lang w:val="en-GB"/>
        </w:rPr>
        <w:t>and others</w:t>
      </w:r>
      <w:r w:rsidR="00AE5657">
        <w:rPr>
          <w:lang w:val="en-GB"/>
        </w:rPr>
        <w:t xml:space="preserve">. </w:t>
      </w:r>
      <w:r w:rsidR="00AB13C2">
        <w:rPr>
          <w:lang w:val="en-GB"/>
        </w:rPr>
        <w:t xml:space="preserve">By </w:t>
      </w:r>
      <w:r w:rsidR="00911080">
        <w:rPr>
          <w:lang w:val="en-GB"/>
        </w:rPr>
        <w:t>presenting this issue</w:t>
      </w:r>
      <w:r w:rsidR="007F33C9">
        <w:rPr>
          <w:lang w:val="en-GB"/>
        </w:rPr>
        <w:t xml:space="preserve"> in international c</w:t>
      </w:r>
      <w:r w:rsidR="007B4B0F">
        <w:rPr>
          <w:lang w:val="en-GB"/>
        </w:rPr>
        <w:t>onferences</w:t>
      </w:r>
      <w:r w:rsidR="00EC1BC7">
        <w:rPr>
          <w:lang w:val="en-GB"/>
        </w:rPr>
        <w:t>,</w:t>
      </w:r>
      <w:r w:rsidR="002031C2">
        <w:rPr>
          <w:lang w:val="en-GB"/>
        </w:rPr>
        <w:t xml:space="preserve"> </w:t>
      </w:r>
      <w:r w:rsidR="00911080">
        <w:rPr>
          <w:lang w:val="en-GB"/>
        </w:rPr>
        <w:t>launching</w:t>
      </w:r>
      <w:r w:rsidR="002031C2">
        <w:rPr>
          <w:lang w:val="en-GB"/>
        </w:rPr>
        <w:t xml:space="preserve"> </w:t>
      </w:r>
      <w:r w:rsidR="006D4821">
        <w:rPr>
          <w:lang w:val="en-GB"/>
        </w:rPr>
        <w:t xml:space="preserve">surveys </w:t>
      </w:r>
      <w:r w:rsidR="006E3CB7">
        <w:rPr>
          <w:lang w:val="en-GB"/>
        </w:rPr>
        <w:t>and</w:t>
      </w:r>
      <w:r w:rsidR="002031C2">
        <w:rPr>
          <w:lang w:val="en-GB"/>
        </w:rPr>
        <w:t xml:space="preserve"> </w:t>
      </w:r>
      <w:r w:rsidR="00911080">
        <w:rPr>
          <w:lang w:val="en-GB"/>
        </w:rPr>
        <w:t>organizing focused workshops</w:t>
      </w:r>
      <w:r w:rsidR="002031C2">
        <w:rPr>
          <w:lang w:val="en-GB"/>
        </w:rPr>
        <w:t xml:space="preserve"> of experts </w:t>
      </w:r>
      <w:r w:rsidR="00A478A8">
        <w:rPr>
          <w:lang w:val="en-GB"/>
        </w:rPr>
        <w:t>at international level</w:t>
      </w:r>
      <w:r w:rsidR="007B4B0F">
        <w:rPr>
          <w:lang w:val="en-GB"/>
        </w:rPr>
        <w:t>,</w:t>
      </w:r>
      <w:r w:rsidR="00A478A8">
        <w:rPr>
          <w:lang w:val="en-GB"/>
        </w:rPr>
        <w:t xml:space="preserve"> </w:t>
      </w:r>
      <w:r w:rsidR="00AB13C2">
        <w:rPr>
          <w:lang w:val="en-GB"/>
        </w:rPr>
        <w:t xml:space="preserve">the </w:t>
      </w:r>
      <w:r w:rsidR="00752E77">
        <w:rPr>
          <w:lang w:val="en-GB"/>
        </w:rPr>
        <w:t>sub</w:t>
      </w:r>
      <w:r w:rsidR="00AB13C2">
        <w:rPr>
          <w:lang w:val="en-GB"/>
        </w:rPr>
        <w:t xml:space="preserve">group </w:t>
      </w:r>
      <w:r w:rsidR="005B346A">
        <w:rPr>
          <w:lang w:val="en-GB"/>
        </w:rPr>
        <w:t xml:space="preserve">created </w:t>
      </w:r>
      <w:r w:rsidR="00AB13C2">
        <w:rPr>
          <w:lang w:val="en-GB"/>
        </w:rPr>
        <w:t>multiple opportunities of discussion and</w:t>
      </w:r>
      <w:r w:rsidR="005B346A">
        <w:rPr>
          <w:lang w:val="en-GB"/>
        </w:rPr>
        <w:t xml:space="preserve"> </w:t>
      </w:r>
      <w:r w:rsidR="00AB13C2">
        <w:rPr>
          <w:lang w:val="en-GB"/>
        </w:rPr>
        <w:t xml:space="preserve">of </w:t>
      </w:r>
      <w:r w:rsidR="005B346A">
        <w:rPr>
          <w:lang w:val="en-GB"/>
        </w:rPr>
        <w:t xml:space="preserve">exchanges of experiences </w:t>
      </w:r>
      <w:r w:rsidR="00AB13C2">
        <w:rPr>
          <w:lang w:val="en-GB"/>
        </w:rPr>
        <w:t>which</w:t>
      </w:r>
      <w:r w:rsidR="005B346A">
        <w:rPr>
          <w:lang w:val="en-GB"/>
        </w:rPr>
        <w:t xml:space="preserve"> were a fruitful source of inspiration. </w:t>
      </w:r>
    </w:p>
    <w:p w:rsidR="00CC2F44" w:rsidRDefault="00005257" w:rsidP="00B46AF4">
      <w:pPr>
        <w:spacing w:line="480" w:lineRule="auto"/>
        <w:jc w:val="both"/>
        <w:rPr>
          <w:lang w:val="en-GB"/>
        </w:rPr>
      </w:pPr>
      <w:r>
        <w:rPr>
          <w:lang w:val="en-GB"/>
        </w:rPr>
        <w:t>A</w:t>
      </w:r>
      <w:r w:rsidR="002031C2">
        <w:rPr>
          <w:lang w:val="en-GB"/>
        </w:rPr>
        <w:t>t the Rome meeting held in June 2013</w:t>
      </w:r>
      <w:r w:rsidR="009F7AE8">
        <w:rPr>
          <w:lang w:val="en-GB"/>
        </w:rPr>
        <w:t>,</w:t>
      </w:r>
      <w:r w:rsidR="002031C2">
        <w:rPr>
          <w:lang w:val="en-GB"/>
        </w:rPr>
        <w:t xml:space="preserve"> a consensus agreement was reached about </w:t>
      </w:r>
      <w:r w:rsidR="000B3469">
        <w:rPr>
          <w:lang w:val="en-GB"/>
        </w:rPr>
        <w:t xml:space="preserve">open data sharing in the </w:t>
      </w:r>
      <w:r w:rsidR="00A478A8">
        <w:rPr>
          <w:lang w:val="en-GB"/>
        </w:rPr>
        <w:t>contex</w:t>
      </w:r>
      <w:r w:rsidR="000B3469">
        <w:rPr>
          <w:lang w:val="en-GB"/>
        </w:rPr>
        <w:t>t of bioresources (</w:t>
      </w:r>
      <w:r w:rsidR="002C05C7">
        <w:rPr>
          <w:lang w:val="en-GB"/>
        </w:rPr>
        <w:t>2</w:t>
      </w:r>
      <w:r w:rsidR="000B3469">
        <w:rPr>
          <w:lang w:val="en-GB"/>
        </w:rPr>
        <w:t>)</w:t>
      </w:r>
      <w:r w:rsidR="00A478A8">
        <w:rPr>
          <w:lang w:val="en-GB"/>
        </w:rPr>
        <w:t xml:space="preserve">, </w:t>
      </w:r>
      <w:r w:rsidR="007C6DCF">
        <w:rPr>
          <w:lang w:val="en-GB"/>
        </w:rPr>
        <w:t xml:space="preserve">the role of </w:t>
      </w:r>
      <w:r w:rsidR="00A478A8">
        <w:rPr>
          <w:lang w:val="en-GB"/>
        </w:rPr>
        <w:t xml:space="preserve">a new </w:t>
      </w:r>
      <w:r w:rsidR="00AB13C2">
        <w:rPr>
          <w:lang w:val="en-GB"/>
        </w:rPr>
        <w:t>journal</w:t>
      </w:r>
      <w:r w:rsidR="00A478A8">
        <w:rPr>
          <w:lang w:val="en-GB"/>
        </w:rPr>
        <w:t xml:space="preserve"> was </w:t>
      </w:r>
      <w:r w:rsidR="007C6DCF">
        <w:rPr>
          <w:lang w:val="en-GB"/>
        </w:rPr>
        <w:t>discussed</w:t>
      </w:r>
      <w:r w:rsidR="0051227F">
        <w:rPr>
          <w:lang w:val="en-GB"/>
        </w:rPr>
        <w:t xml:space="preserve"> </w:t>
      </w:r>
      <w:r w:rsidR="006E72FB">
        <w:rPr>
          <w:lang w:val="en-GB"/>
        </w:rPr>
        <w:t>(</w:t>
      </w:r>
      <w:r w:rsidR="0051227F" w:rsidRPr="0051227F">
        <w:rPr>
          <w:i/>
          <w:lang w:val="en-GB"/>
        </w:rPr>
        <w:t>The Open Journal of Bioresources</w:t>
      </w:r>
      <w:r w:rsidR="00A723BA">
        <w:rPr>
          <w:i/>
          <w:lang w:val="en-GB"/>
        </w:rPr>
        <w:t>,</w:t>
      </w:r>
      <w:r w:rsidR="0051227F" w:rsidRPr="0051227F">
        <w:rPr>
          <w:i/>
          <w:lang w:val="en-GB"/>
        </w:rPr>
        <w:t xml:space="preserve"> </w:t>
      </w:r>
      <w:r w:rsidR="00F15D2A" w:rsidRPr="00F15D2A">
        <w:rPr>
          <w:lang w:val="en-GB"/>
        </w:rPr>
        <w:t>published</w:t>
      </w:r>
      <w:r w:rsidR="00F15D2A">
        <w:rPr>
          <w:i/>
          <w:lang w:val="en-GB"/>
        </w:rPr>
        <w:t xml:space="preserve"> </w:t>
      </w:r>
      <w:r w:rsidR="006E72FB">
        <w:rPr>
          <w:lang w:val="en-GB"/>
        </w:rPr>
        <w:t>by Ubiquity Press</w:t>
      </w:r>
      <w:r w:rsidR="00F15D2A">
        <w:rPr>
          <w:lang w:val="en-GB"/>
        </w:rPr>
        <w:t xml:space="preserve"> </w:t>
      </w:r>
      <w:r>
        <w:rPr>
          <w:lang w:val="en-GB"/>
        </w:rPr>
        <w:t>for</w:t>
      </w:r>
      <w:r w:rsidR="00F15D2A">
        <w:rPr>
          <w:lang w:val="en-GB"/>
        </w:rPr>
        <w:t xml:space="preserve"> ‘</w:t>
      </w:r>
      <w:r w:rsidR="006E72FB">
        <w:rPr>
          <w:lang w:val="en-GB"/>
        </w:rPr>
        <w:t>marker papers</w:t>
      </w:r>
      <w:r w:rsidR="00F15D2A">
        <w:rPr>
          <w:lang w:val="en-GB"/>
        </w:rPr>
        <w:t>’</w:t>
      </w:r>
      <w:r w:rsidR="006E72FB">
        <w:rPr>
          <w:lang w:val="en-GB"/>
        </w:rPr>
        <w:t xml:space="preserve"> </w:t>
      </w:r>
      <w:r>
        <w:rPr>
          <w:lang w:val="en-GB"/>
        </w:rPr>
        <w:t>describing</w:t>
      </w:r>
      <w:r w:rsidR="00F15D2A">
        <w:rPr>
          <w:lang w:val="en-GB"/>
        </w:rPr>
        <w:t xml:space="preserve"> </w:t>
      </w:r>
      <w:r w:rsidR="00C20654">
        <w:rPr>
          <w:lang w:val="en-GB"/>
        </w:rPr>
        <w:t>bioresources</w:t>
      </w:r>
      <w:r w:rsidR="006E3CB7">
        <w:rPr>
          <w:lang w:val="en-GB"/>
        </w:rPr>
        <w:t>)</w:t>
      </w:r>
      <w:r w:rsidR="00C20654">
        <w:rPr>
          <w:lang w:val="en-GB"/>
        </w:rPr>
        <w:t xml:space="preserve">, and an initial </w:t>
      </w:r>
      <w:r w:rsidR="00410EB5">
        <w:rPr>
          <w:lang w:val="en-GB"/>
        </w:rPr>
        <w:t>format for a standardized citation was agreed</w:t>
      </w:r>
      <w:r w:rsidR="006E3CB7">
        <w:rPr>
          <w:lang w:val="en-GB"/>
        </w:rPr>
        <w:t xml:space="preserve">. </w:t>
      </w:r>
      <w:r w:rsidR="00407FCF" w:rsidRPr="00407FCF">
        <w:rPr>
          <w:color w:val="FF0000"/>
          <w:lang w:val="en-GB"/>
        </w:rPr>
        <w:t>Marker papers were intended as artic</w:t>
      </w:r>
      <w:r w:rsidR="00407FCF">
        <w:rPr>
          <w:color w:val="FF0000"/>
          <w:lang w:val="en-GB"/>
        </w:rPr>
        <w:t xml:space="preserve">les describing the </w:t>
      </w:r>
      <w:r w:rsidR="00BD59A3">
        <w:rPr>
          <w:color w:val="FF0000"/>
          <w:lang w:val="en-GB"/>
        </w:rPr>
        <w:t>bio</w:t>
      </w:r>
      <w:r w:rsidR="00407FCF">
        <w:rPr>
          <w:color w:val="FF0000"/>
          <w:lang w:val="en-GB"/>
        </w:rPr>
        <w:t>resource</w:t>
      </w:r>
      <w:r w:rsidR="00407FCF" w:rsidRPr="00407FCF">
        <w:rPr>
          <w:color w:val="FF0000"/>
          <w:lang w:val="en-GB"/>
        </w:rPr>
        <w:t xml:space="preserve"> i</w:t>
      </w:r>
      <w:r w:rsidR="00407FCF">
        <w:rPr>
          <w:color w:val="FF0000"/>
          <w:lang w:val="en-GB"/>
        </w:rPr>
        <w:t xml:space="preserve">n detail on the basis of a standardized template. This model of marker papers is already highly successful in other areas such as Bioinformatics. </w:t>
      </w:r>
      <w:r w:rsidR="00EE6B7B">
        <w:rPr>
          <w:lang w:val="en-GB"/>
        </w:rPr>
        <w:t>T</w:t>
      </w:r>
      <w:r w:rsidR="006E3CB7">
        <w:rPr>
          <w:lang w:val="en-GB"/>
        </w:rPr>
        <w:t xml:space="preserve">he foundations of </w:t>
      </w:r>
      <w:r w:rsidR="007B4B0F">
        <w:rPr>
          <w:lang w:val="en-GB"/>
        </w:rPr>
        <w:t>a</w:t>
      </w:r>
      <w:r w:rsidR="0022472B">
        <w:rPr>
          <w:lang w:val="en-GB"/>
        </w:rPr>
        <w:t xml:space="preserve"> guideline</w:t>
      </w:r>
      <w:r w:rsidR="003E1261">
        <w:rPr>
          <w:lang w:val="en-GB"/>
        </w:rPr>
        <w:t xml:space="preserve"> were laid.</w:t>
      </w:r>
      <w:r w:rsidR="006E3CB7">
        <w:rPr>
          <w:lang w:val="en-GB"/>
        </w:rPr>
        <w:t xml:space="preserve"> </w:t>
      </w:r>
      <w:r w:rsidR="0022472B">
        <w:rPr>
          <w:lang w:val="en-GB"/>
        </w:rPr>
        <w:t xml:space="preserve">The idea of creating a standard to allow traceability of the use of bioresources in journal articles was </w:t>
      </w:r>
      <w:r w:rsidR="00410EB5">
        <w:rPr>
          <w:lang w:val="en-GB"/>
        </w:rPr>
        <w:t xml:space="preserve">finally </w:t>
      </w:r>
      <w:r w:rsidR="0022472B">
        <w:rPr>
          <w:lang w:val="en-GB"/>
        </w:rPr>
        <w:t xml:space="preserve">taking form. </w:t>
      </w:r>
    </w:p>
    <w:p w:rsidR="00CC2F44" w:rsidRDefault="00CC2F44" w:rsidP="00B46AF4">
      <w:pPr>
        <w:spacing w:line="480" w:lineRule="auto"/>
        <w:jc w:val="both"/>
        <w:rPr>
          <w:lang w:val="en-GB"/>
        </w:rPr>
      </w:pPr>
    </w:p>
    <w:p w:rsidR="00CC2F44" w:rsidRDefault="00CC2F44" w:rsidP="00B46AF4">
      <w:pPr>
        <w:spacing w:line="480" w:lineRule="auto"/>
        <w:jc w:val="both"/>
        <w:rPr>
          <w:lang w:val="en-GB"/>
        </w:rPr>
      </w:pPr>
      <w:r>
        <w:rPr>
          <w:lang w:val="en-GB"/>
        </w:rPr>
        <w:t xml:space="preserve">But what is </w:t>
      </w:r>
      <w:r w:rsidR="00A067E3">
        <w:rPr>
          <w:lang w:val="en-GB"/>
        </w:rPr>
        <w:t xml:space="preserve">the </w:t>
      </w:r>
      <w:r>
        <w:rPr>
          <w:lang w:val="en-GB"/>
        </w:rPr>
        <w:t xml:space="preserve">CoBRA </w:t>
      </w:r>
      <w:r w:rsidR="00A067E3">
        <w:rPr>
          <w:lang w:val="en-GB"/>
        </w:rPr>
        <w:t xml:space="preserve">guideline </w:t>
      </w:r>
      <w:r>
        <w:rPr>
          <w:lang w:val="en-GB"/>
        </w:rPr>
        <w:t xml:space="preserve">and how could it </w:t>
      </w:r>
      <w:r w:rsidR="00A34E77">
        <w:rPr>
          <w:lang w:val="en-GB"/>
        </w:rPr>
        <w:t>give</w:t>
      </w:r>
      <w:r>
        <w:rPr>
          <w:lang w:val="en-GB"/>
        </w:rPr>
        <w:t xml:space="preserve"> visibility to biobanks?</w:t>
      </w:r>
    </w:p>
    <w:p w:rsidR="00CC2F44" w:rsidRDefault="00CC2F44" w:rsidP="00B46AF4">
      <w:pPr>
        <w:spacing w:line="480" w:lineRule="auto"/>
        <w:jc w:val="both"/>
        <w:rPr>
          <w:lang w:val="en-GB"/>
        </w:rPr>
      </w:pPr>
    </w:p>
    <w:p w:rsidR="0022472B" w:rsidRDefault="00A618D9" w:rsidP="00B46AF4">
      <w:pPr>
        <w:spacing w:line="480" w:lineRule="auto"/>
        <w:jc w:val="both"/>
        <w:rPr>
          <w:lang w:val="en-GB"/>
        </w:rPr>
      </w:pPr>
      <w:r>
        <w:rPr>
          <w:lang w:val="en-GB"/>
        </w:rPr>
        <w:t>As in the acronym</w:t>
      </w:r>
      <w:r w:rsidR="00BA45B6">
        <w:rPr>
          <w:lang w:val="en-GB"/>
        </w:rPr>
        <w:t>,</w:t>
      </w:r>
      <w:r w:rsidR="0022472B">
        <w:rPr>
          <w:lang w:val="en-GB"/>
        </w:rPr>
        <w:t xml:space="preserve"> </w:t>
      </w:r>
      <w:r w:rsidR="00EE6B7B">
        <w:rPr>
          <w:lang w:val="en-GB"/>
        </w:rPr>
        <w:t>CoBRA</w:t>
      </w:r>
      <w:r w:rsidR="0022472B">
        <w:rPr>
          <w:lang w:val="en-GB"/>
        </w:rPr>
        <w:t xml:space="preserve"> is a guideline for </w:t>
      </w:r>
      <w:r w:rsidR="0022472B" w:rsidRPr="0022472B">
        <w:rPr>
          <w:i/>
          <w:lang w:val="en-GB"/>
        </w:rPr>
        <w:t>Citation of BioResources in journal Articles</w:t>
      </w:r>
      <w:r w:rsidR="005B2BE3">
        <w:rPr>
          <w:i/>
          <w:lang w:val="en-GB"/>
        </w:rPr>
        <w:t xml:space="preserve"> </w:t>
      </w:r>
      <w:r w:rsidR="005B2BE3" w:rsidRPr="005B2BE3">
        <w:rPr>
          <w:lang w:val="en-GB"/>
        </w:rPr>
        <w:t>(7)</w:t>
      </w:r>
      <w:r w:rsidR="0022472B" w:rsidRPr="005B2BE3">
        <w:rPr>
          <w:lang w:val="en-GB"/>
        </w:rPr>
        <w:t>.</w:t>
      </w:r>
      <w:r w:rsidR="0022472B">
        <w:rPr>
          <w:i/>
          <w:lang w:val="en-GB"/>
        </w:rPr>
        <w:t xml:space="preserve"> </w:t>
      </w:r>
      <w:r w:rsidR="005B2BE3" w:rsidRPr="009059A1">
        <w:rPr>
          <w:color w:val="FF0000"/>
          <w:lang w:val="en-GB"/>
        </w:rPr>
        <w:t xml:space="preserve">The </w:t>
      </w:r>
      <w:r w:rsidR="009059A1" w:rsidRPr="009059A1">
        <w:rPr>
          <w:color w:val="FF0000"/>
          <w:lang w:val="en-GB"/>
        </w:rPr>
        <w:t xml:space="preserve">importance of this </w:t>
      </w:r>
      <w:r w:rsidR="005B2BE3" w:rsidRPr="009059A1">
        <w:rPr>
          <w:color w:val="FF0000"/>
          <w:lang w:val="en-GB"/>
        </w:rPr>
        <w:t>guideline</w:t>
      </w:r>
      <w:r w:rsidR="0022472B" w:rsidRPr="009059A1">
        <w:rPr>
          <w:color w:val="FF0000"/>
          <w:lang w:val="en-GB"/>
        </w:rPr>
        <w:t xml:space="preserve"> </w:t>
      </w:r>
      <w:r w:rsidR="009059A1" w:rsidRPr="009059A1">
        <w:rPr>
          <w:color w:val="FF0000"/>
          <w:lang w:val="en-GB"/>
        </w:rPr>
        <w:t xml:space="preserve">is that it </w:t>
      </w:r>
      <w:r w:rsidR="0022472B">
        <w:rPr>
          <w:lang w:val="en-GB"/>
        </w:rPr>
        <w:t>offers for the first time a</w:t>
      </w:r>
      <w:r w:rsidR="0084345F">
        <w:rPr>
          <w:lang w:val="en-GB"/>
        </w:rPr>
        <w:t xml:space="preserve"> standard</w:t>
      </w:r>
      <w:r w:rsidR="007443FA">
        <w:rPr>
          <w:lang w:val="en-GB"/>
        </w:rPr>
        <w:t xml:space="preserve"> for </w:t>
      </w:r>
      <w:r w:rsidR="0022472B">
        <w:rPr>
          <w:lang w:val="en-GB"/>
        </w:rPr>
        <w:t xml:space="preserve">citing </w:t>
      </w:r>
      <w:r w:rsidR="0084345F">
        <w:rPr>
          <w:lang w:val="en-GB"/>
        </w:rPr>
        <w:lastRenderedPageBreak/>
        <w:t>bioresource</w:t>
      </w:r>
      <w:r w:rsidR="0022472B">
        <w:rPr>
          <w:lang w:val="en-GB"/>
        </w:rPr>
        <w:t xml:space="preserve">s (including biobanks) </w:t>
      </w:r>
      <w:r w:rsidR="00EE6B7B">
        <w:rPr>
          <w:lang w:val="en-GB"/>
        </w:rPr>
        <w:t>within</w:t>
      </w:r>
      <w:r w:rsidR="0022472B">
        <w:rPr>
          <w:lang w:val="en-GB"/>
        </w:rPr>
        <w:t xml:space="preserve"> </w:t>
      </w:r>
      <w:r w:rsidR="007443FA">
        <w:rPr>
          <w:lang w:val="en-GB"/>
        </w:rPr>
        <w:t>journal articles</w:t>
      </w:r>
      <w:r w:rsidR="00A847B5">
        <w:rPr>
          <w:lang w:val="en-GB"/>
        </w:rPr>
        <w:t>,</w:t>
      </w:r>
      <w:r w:rsidR="0022472B">
        <w:rPr>
          <w:lang w:val="en-GB"/>
        </w:rPr>
        <w:t xml:space="preserve"> </w:t>
      </w:r>
      <w:r w:rsidR="00A847B5">
        <w:rPr>
          <w:lang w:val="en-GB"/>
        </w:rPr>
        <w:t>whenever a</w:t>
      </w:r>
      <w:r w:rsidR="0022472B">
        <w:rPr>
          <w:lang w:val="en-GB"/>
        </w:rPr>
        <w:t xml:space="preserve"> </w:t>
      </w:r>
      <w:r w:rsidR="00A847B5">
        <w:rPr>
          <w:lang w:val="en-GB"/>
        </w:rPr>
        <w:t>study</w:t>
      </w:r>
      <w:r w:rsidR="0022472B">
        <w:rPr>
          <w:lang w:val="en-GB"/>
        </w:rPr>
        <w:t xml:space="preserve"> </w:t>
      </w:r>
      <w:r w:rsidR="00665CF0">
        <w:rPr>
          <w:lang w:val="en-GB"/>
        </w:rPr>
        <w:t>based on</w:t>
      </w:r>
      <w:r w:rsidR="0022472B">
        <w:rPr>
          <w:lang w:val="en-GB"/>
        </w:rPr>
        <w:t xml:space="preserve"> the use of </w:t>
      </w:r>
      <w:r w:rsidR="00EE6B7B">
        <w:rPr>
          <w:lang w:val="en-GB"/>
        </w:rPr>
        <w:t>a bioresource</w:t>
      </w:r>
      <w:r w:rsidR="0022472B">
        <w:rPr>
          <w:lang w:val="en-GB"/>
        </w:rPr>
        <w:t xml:space="preserve"> </w:t>
      </w:r>
      <w:r w:rsidR="00A847B5">
        <w:rPr>
          <w:lang w:val="en-GB"/>
        </w:rPr>
        <w:t>is</w:t>
      </w:r>
      <w:r w:rsidR="0022472B">
        <w:rPr>
          <w:lang w:val="en-GB"/>
        </w:rPr>
        <w:t xml:space="preserve"> published. </w:t>
      </w:r>
    </w:p>
    <w:p w:rsidR="00FD0557" w:rsidRDefault="003D5326" w:rsidP="00FD0557">
      <w:pPr>
        <w:spacing w:line="480" w:lineRule="auto"/>
        <w:jc w:val="both"/>
        <w:rPr>
          <w:color w:val="FF0000"/>
          <w:lang w:val="en-GB"/>
        </w:rPr>
      </w:pPr>
      <w:r>
        <w:rPr>
          <w:lang w:val="en-GB"/>
        </w:rPr>
        <w:t xml:space="preserve">The idea behind CoBRA is that </w:t>
      </w:r>
      <w:r w:rsidR="00E77949">
        <w:rPr>
          <w:lang w:val="en-GB"/>
        </w:rPr>
        <w:t>mentioning</w:t>
      </w:r>
      <w:r>
        <w:rPr>
          <w:lang w:val="en-GB"/>
        </w:rPr>
        <w:t xml:space="preserve"> the </w:t>
      </w:r>
      <w:r w:rsidR="00C53D45">
        <w:rPr>
          <w:lang w:val="en-GB"/>
        </w:rPr>
        <w:t xml:space="preserve">name (which </w:t>
      </w:r>
      <w:r w:rsidR="00ED7990">
        <w:rPr>
          <w:lang w:val="en-GB"/>
        </w:rPr>
        <w:t>is often not</w:t>
      </w:r>
      <w:r w:rsidR="005B2BE3">
        <w:rPr>
          <w:lang w:val="en-GB"/>
        </w:rPr>
        <w:t xml:space="preserve"> univocal) and some details (which are </w:t>
      </w:r>
      <w:r w:rsidR="000B1028">
        <w:rPr>
          <w:lang w:val="en-GB"/>
        </w:rPr>
        <w:t xml:space="preserve">often </w:t>
      </w:r>
      <w:r w:rsidR="00ED7990">
        <w:rPr>
          <w:lang w:val="en-GB"/>
        </w:rPr>
        <w:t>inaccurate</w:t>
      </w:r>
      <w:r w:rsidR="005B2BE3">
        <w:rPr>
          <w:lang w:val="en-GB"/>
        </w:rPr>
        <w:t>)</w:t>
      </w:r>
      <w:r w:rsidR="000B1028">
        <w:rPr>
          <w:lang w:val="en-GB"/>
        </w:rPr>
        <w:t xml:space="preserve"> of a given </w:t>
      </w:r>
      <w:r>
        <w:rPr>
          <w:lang w:val="en-GB"/>
        </w:rPr>
        <w:t>bioresource</w:t>
      </w:r>
      <w:r w:rsidR="000B1028">
        <w:rPr>
          <w:lang w:val="en-GB"/>
        </w:rPr>
        <w:t>/biobank</w:t>
      </w:r>
      <w:r>
        <w:rPr>
          <w:lang w:val="en-GB"/>
        </w:rPr>
        <w:t xml:space="preserve"> </w:t>
      </w:r>
      <w:r w:rsidR="0022472B">
        <w:rPr>
          <w:lang w:val="en-GB"/>
        </w:rPr>
        <w:t xml:space="preserve">in the </w:t>
      </w:r>
      <w:r w:rsidR="00972263">
        <w:rPr>
          <w:lang w:val="en-GB"/>
        </w:rPr>
        <w:t>Introduction</w:t>
      </w:r>
      <w:r w:rsidR="00E31D49">
        <w:rPr>
          <w:lang w:val="en-GB"/>
        </w:rPr>
        <w:t xml:space="preserve"> </w:t>
      </w:r>
      <w:r w:rsidR="00E77949">
        <w:rPr>
          <w:lang w:val="en-GB"/>
        </w:rPr>
        <w:t xml:space="preserve">or, more appropriately, </w:t>
      </w:r>
      <w:r w:rsidR="00972263">
        <w:rPr>
          <w:lang w:val="en-GB"/>
        </w:rPr>
        <w:t xml:space="preserve">in the </w:t>
      </w:r>
      <w:r w:rsidR="00E31D49">
        <w:rPr>
          <w:lang w:val="en-GB"/>
        </w:rPr>
        <w:t>Material and Methods</w:t>
      </w:r>
      <w:r w:rsidR="00E77949">
        <w:rPr>
          <w:lang w:val="en-GB"/>
        </w:rPr>
        <w:t xml:space="preserve"> section</w:t>
      </w:r>
      <w:r w:rsidR="00367A39">
        <w:rPr>
          <w:lang w:val="en-GB"/>
        </w:rPr>
        <w:t xml:space="preserve">, in the Acknowledgements or in the Supplementary material </w:t>
      </w:r>
      <w:r w:rsidR="00F0404C">
        <w:rPr>
          <w:lang w:val="en-GB"/>
        </w:rPr>
        <w:t>of a journal article</w:t>
      </w:r>
      <w:r w:rsidR="00E77949">
        <w:rPr>
          <w:lang w:val="en-GB"/>
        </w:rPr>
        <w:t xml:space="preserve"> </w:t>
      </w:r>
      <w:r w:rsidR="0022472B">
        <w:rPr>
          <w:lang w:val="en-GB"/>
        </w:rPr>
        <w:t xml:space="preserve">is </w:t>
      </w:r>
      <w:r w:rsidR="00E77949">
        <w:rPr>
          <w:lang w:val="en-GB"/>
        </w:rPr>
        <w:t xml:space="preserve">not enough and is </w:t>
      </w:r>
      <w:r w:rsidR="00E0057E">
        <w:rPr>
          <w:lang w:val="en-GB"/>
        </w:rPr>
        <w:t xml:space="preserve">useless to guarantee </w:t>
      </w:r>
      <w:r w:rsidR="00E77949">
        <w:rPr>
          <w:lang w:val="en-GB"/>
        </w:rPr>
        <w:t>traceability.</w:t>
      </w:r>
      <w:r w:rsidR="00972263">
        <w:rPr>
          <w:lang w:val="en-GB"/>
        </w:rPr>
        <w:t xml:space="preserve"> </w:t>
      </w:r>
      <w:r w:rsidR="00E77949">
        <w:rPr>
          <w:lang w:val="en-GB"/>
        </w:rPr>
        <w:t>This is both</w:t>
      </w:r>
      <w:r w:rsidR="00972263">
        <w:rPr>
          <w:lang w:val="en-GB"/>
        </w:rPr>
        <w:t xml:space="preserve"> because </w:t>
      </w:r>
      <w:r>
        <w:rPr>
          <w:lang w:val="en-GB"/>
        </w:rPr>
        <w:t xml:space="preserve">if the reporting is </w:t>
      </w:r>
      <w:r w:rsidR="00A622FE">
        <w:rPr>
          <w:lang w:val="en-GB"/>
        </w:rPr>
        <w:t xml:space="preserve">heterogeneous and </w:t>
      </w:r>
      <w:r>
        <w:rPr>
          <w:lang w:val="en-GB"/>
        </w:rPr>
        <w:t xml:space="preserve">not </w:t>
      </w:r>
      <w:r w:rsidR="000B1028">
        <w:rPr>
          <w:lang w:val="en-GB"/>
        </w:rPr>
        <w:t>standardized</w:t>
      </w:r>
      <w:r>
        <w:rPr>
          <w:lang w:val="en-GB"/>
        </w:rPr>
        <w:t>, it is not correctly retrievable</w:t>
      </w:r>
      <w:r w:rsidR="00972263">
        <w:rPr>
          <w:lang w:val="en-GB"/>
        </w:rPr>
        <w:t xml:space="preserve">, and because </w:t>
      </w:r>
      <w:r>
        <w:rPr>
          <w:lang w:val="en-GB"/>
        </w:rPr>
        <w:t xml:space="preserve">those </w:t>
      </w:r>
      <w:r w:rsidR="00E31D49">
        <w:rPr>
          <w:lang w:val="en-GB"/>
        </w:rPr>
        <w:t>sections</w:t>
      </w:r>
      <w:r>
        <w:rPr>
          <w:lang w:val="en-GB"/>
        </w:rPr>
        <w:t xml:space="preserve"> in the paper are </w:t>
      </w:r>
      <w:r w:rsidR="000B1028">
        <w:rPr>
          <w:lang w:val="en-GB"/>
        </w:rPr>
        <w:t xml:space="preserve">just </w:t>
      </w:r>
      <w:r>
        <w:rPr>
          <w:lang w:val="en-GB"/>
        </w:rPr>
        <w:t xml:space="preserve">not </w:t>
      </w:r>
      <w:r w:rsidR="000B1028">
        <w:rPr>
          <w:lang w:val="en-GB"/>
        </w:rPr>
        <w:t xml:space="preserve">appropriate for including information </w:t>
      </w:r>
      <w:r w:rsidR="00803A73">
        <w:rPr>
          <w:lang w:val="en-GB"/>
        </w:rPr>
        <w:t xml:space="preserve">which are </w:t>
      </w:r>
      <w:r w:rsidR="00E77949">
        <w:rPr>
          <w:lang w:val="en-GB"/>
        </w:rPr>
        <w:t xml:space="preserve">more </w:t>
      </w:r>
      <w:r w:rsidR="00803A73">
        <w:rPr>
          <w:lang w:val="en-GB"/>
        </w:rPr>
        <w:t>appropriate</w:t>
      </w:r>
      <w:r w:rsidR="001366C4">
        <w:rPr>
          <w:lang w:val="en-GB"/>
        </w:rPr>
        <w:t>ly positioned in the References</w:t>
      </w:r>
      <w:r w:rsidR="00803A73">
        <w:rPr>
          <w:lang w:val="en-GB"/>
        </w:rPr>
        <w:t xml:space="preserve">.  </w:t>
      </w:r>
      <w:r w:rsidR="00E77949">
        <w:rPr>
          <w:lang w:val="en-GB"/>
        </w:rPr>
        <w:t xml:space="preserve">According to CoBRA, </w:t>
      </w:r>
      <w:r w:rsidR="00E77949" w:rsidRPr="00E77949">
        <w:rPr>
          <w:lang w:val="en-GB"/>
        </w:rPr>
        <w:t xml:space="preserve">each individual bioresource used to perform a study </w:t>
      </w:r>
      <w:r w:rsidR="00715E72" w:rsidRPr="00715E72">
        <w:rPr>
          <w:color w:val="FF0000"/>
          <w:lang w:val="en-GB"/>
        </w:rPr>
        <w:t>should be</w:t>
      </w:r>
      <w:r w:rsidR="00715E72">
        <w:rPr>
          <w:lang w:val="en-GB"/>
        </w:rPr>
        <w:t xml:space="preserve"> </w:t>
      </w:r>
      <w:r w:rsidR="00E77949" w:rsidRPr="00E77949">
        <w:rPr>
          <w:lang w:val="en-GB"/>
        </w:rPr>
        <w:t xml:space="preserve">mentioned in the </w:t>
      </w:r>
      <w:r w:rsidR="001366C4">
        <w:rPr>
          <w:lang w:val="en-GB"/>
        </w:rPr>
        <w:t xml:space="preserve">Material and </w:t>
      </w:r>
      <w:r w:rsidR="00E77949" w:rsidRPr="00E77949">
        <w:rPr>
          <w:lang w:val="en-GB"/>
        </w:rPr>
        <w:t xml:space="preserve">Methods </w:t>
      </w:r>
      <w:r w:rsidR="00F26167" w:rsidRPr="00F26167">
        <w:rPr>
          <w:color w:val="FF0000"/>
          <w:lang w:val="en-GB"/>
        </w:rPr>
        <w:t>section</w:t>
      </w:r>
      <w:r w:rsidR="00F26167">
        <w:rPr>
          <w:lang w:val="en-GB"/>
        </w:rPr>
        <w:t xml:space="preserve"> </w:t>
      </w:r>
      <w:r w:rsidR="005158A5">
        <w:rPr>
          <w:lang w:val="en-GB"/>
        </w:rPr>
        <w:t xml:space="preserve">of a journal article </w:t>
      </w:r>
      <w:r w:rsidR="00E77949" w:rsidRPr="00715E72">
        <w:rPr>
          <w:strike/>
          <w:lang w:val="en-GB"/>
        </w:rPr>
        <w:t>should</w:t>
      </w:r>
      <w:r w:rsidR="000434AC">
        <w:rPr>
          <w:lang w:val="en-GB"/>
        </w:rPr>
        <w:t xml:space="preserve"> </w:t>
      </w:r>
      <w:r w:rsidR="00715E72" w:rsidRPr="00715E72">
        <w:rPr>
          <w:color w:val="FF0000"/>
          <w:lang w:val="en-GB"/>
        </w:rPr>
        <w:t xml:space="preserve">and should </w:t>
      </w:r>
      <w:r w:rsidR="00E77949" w:rsidRPr="00715E72">
        <w:rPr>
          <w:color w:val="FF0000"/>
          <w:lang w:val="en-GB"/>
        </w:rPr>
        <w:t>be</w:t>
      </w:r>
      <w:r w:rsidR="00E77949" w:rsidRPr="00E77949">
        <w:rPr>
          <w:lang w:val="en-GB"/>
        </w:rPr>
        <w:t xml:space="preserve"> cited as an individual “reference [BIORESOURCE]” a</w:t>
      </w:r>
      <w:r w:rsidR="005158A5">
        <w:rPr>
          <w:lang w:val="en-GB"/>
        </w:rPr>
        <w:t xml:space="preserve">ccording to a delineated format </w:t>
      </w:r>
      <w:r w:rsidR="000434AC">
        <w:rPr>
          <w:lang w:val="en-GB"/>
        </w:rPr>
        <w:t>(</w:t>
      </w:r>
      <w:r w:rsidR="005158A5">
        <w:rPr>
          <w:lang w:val="en-GB"/>
        </w:rPr>
        <w:t>7</w:t>
      </w:r>
      <w:r w:rsidR="005158A5" w:rsidRPr="00FD0557">
        <w:rPr>
          <w:lang w:val="en-GB"/>
        </w:rPr>
        <w:t>).</w:t>
      </w:r>
      <w:r w:rsidR="004B399B" w:rsidRPr="00FD0557">
        <w:rPr>
          <w:lang w:val="en-GB"/>
        </w:rPr>
        <w:t xml:space="preserve"> </w:t>
      </w:r>
      <w:r w:rsidR="00FD0557" w:rsidRPr="00FD0557">
        <w:rPr>
          <w:color w:val="FF0000"/>
          <w:lang w:val="en-GB"/>
        </w:rPr>
        <w:t>Two examples are provided</w:t>
      </w:r>
      <w:r w:rsidR="00FD0557">
        <w:rPr>
          <w:color w:val="FF0000"/>
          <w:lang w:val="en-GB"/>
        </w:rPr>
        <w:t xml:space="preserve"> below</w:t>
      </w:r>
      <w:r w:rsidR="00FD0557" w:rsidRPr="00FD0557">
        <w:rPr>
          <w:color w:val="FF0000"/>
          <w:lang w:val="en-GB"/>
        </w:rPr>
        <w:t xml:space="preserve"> for the citation of a biobank and </w:t>
      </w:r>
      <w:r w:rsidR="00FD0557">
        <w:rPr>
          <w:color w:val="FF0000"/>
          <w:lang w:val="en-GB"/>
        </w:rPr>
        <w:t xml:space="preserve">of </w:t>
      </w:r>
      <w:r w:rsidR="00FD0557" w:rsidRPr="00FD0557">
        <w:rPr>
          <w:color w:val="FF0000"/>
          <w:lang w:val="en-GB"/>
        </w:rPr>
        <w:t xml:space="preserve">a registry. </w:t>
      </w:r>
    </w:p>
    <w:p w:rsidR="00FD0557" w:rsidRPr="00FD0557" w:rsidRDefault="00FD0557" w:rsidP="00FD0557">
      <w:pPr>
        <w:spacing w:line="480" w:lineRule="auto"/>
        <w:jc w:val="both"/>
        <w:rPr>
          <w:color w:val="FF0000"/>
          <w:lang w:val="en-GB"/>
        </w:rPr>
      </w:pPr>
      <w:r>
        <w:rPr>
          <w:color w:val="FF0000"/>
          <w:lang w:val="en-GB"/>
        </w:rPr>
        <w:t>T</w:t>
      </w:r>
      <w:r w:rsidRPr="00FD0557">
        <w:rPr>
          <w:color w:val="FF0000"/>
          <w:lang w:val="en-GB"/>
        </w:rPr>
        <w:t>he Italian biobank named “BioBanca Istituzionale (BBI)”, par</w:t>
      </w:r>
      <w:r>
        <w:rPr>
          <w:color w:val="FF0000"/>
          <w:lang w:val="en-GB"/>
        </w:rPr>
        <w:t>tner of the network BBMRI-ERIC, would</w:t>
      </w:r>
      <w:r w:rsidRPr="00FD0557">
        <w:rPr>
          <w:color w:val="FF0000"/>
          <w:lang w:val="en-GB"/>
        </w:rPr>
        <w:t xml:space="preserve"> be </w:t>
      </w:r>
      <w:r>
        <w:rPr>
          <w:color w:val="FF0000"/>
          <w:lang w:val="en-GB"/>
        </w:rPr>
        <w:t xml:space="preserve">cited </w:t>
      </w:r>
      <w:r w:rsidRPr="00FD0557">
        <w:rPr>
          <w:color w:val="FF0000"/>
          <w:lang w:val="en-GB"/>
        </w:rPr>
        <w:t>as follows:</w:t>
      </w:r>
    </w:p>
    <w:p w:rsidR="00FD0557" w:rsidRPr="00FD0557" w:rsidRDefault="00FD0557" w:rsidP="00FD0557">
      <w:pPr>
        <w:spacing w:line="480" w:lineRule="auto"/>
        <w:ind w:left="567"/>
        <w:jc w:val="both"/>
        <w:rPr>
          <w:color w:val="FF0000"/>
          <w:lang w:val="en-GB"/>
        </w:rPr>
      </w:pPr>
      <w:r w:rsidRPr="009C4226">
        <w:rPr>
          <w:color w:val="FF0000"/>
          <w:lang w:val="fr-FR"/>
        </w:rPr>
        <w:t xml:space="preserve">BioBanca Istituzionale (BBI). Naples, Italy. </w:t>
      </w:r>
      <w:r>
        <w:rPr>
          <w:color w:val="FF0000"/>
          <w:lang w:val="en-GB"/>
        </w:rPr>
        <w:t>BBMRI-ERIC.</w:t>
      </w:r>
      <w:r w:rsidRPr="00FD0557">
        <w:rPr>
          <w:color w:val="FF0000"/>
          <w:lang w:val="en-GB"/>
        </w:rPr>
        <w:t xml:space="preserve"> No. Access: 2; last: April 15, 2014. [BIORESOURCE]</w:t>
      </w:r>
    </w:p>
    <w:p w:rsidR="00BE71D8" w:rsidRDefault="00FD0557" w:rsidP="00BE71D8">
      <w:pPr>
        <w:spacing w:line="480" w:lineRule="auto"/>
        <w:jc w:val="both"/>
        <w:rPr>
          <w:color w:val="FF0000"/>
          <w:lang w:val="en-GB"/>
        </w:rPr>
      </w:pPr>
      <w:r w:rsidRPr="00FD0557">
        <w:rPr>
          <w:color w:val="FF0000"/>
          <w:lang w:val="en-GB"/>
        </w:rPr>
        <w:t xml:space="preserve">The second example is taken from the </w:t>
      </w:r>
      <w:r>
        <w:rPr>
          <w:color w:val="FF0000"/>
          <w:lang w:val="en-GB"/>
        </w:rPr>
        <w:t>r</w:t>
      </w:r>
      <w:r w:rsidRPr="00FD0557">
        <w:rPr>
          <w:color w:val="FF0000"/>
          <w:lang w:val="en-GB"/>
        </w:rPr>
        <w:t>eport</w:t>
      </w:r>
      <w:r>
        <w:rPr>
          <w:color w:val="FF0000"/>
          <w:lang w:val="en-GB"/>
        </w:rPr>
        <w:t xml:space="preserve"> </w:t>
      </w:r>
      <w:r w:rsidRPr="00FD0557">
        <w:rPr>
          <w:color w:val="FF0000"/>
          <w:lang w:val="en-GB"/>
        </w:rPr>
        <w:t xml:space="preserve"> of the Italian National Registry for rare diseases </w:t>
      </w:r>
      <w:r>
        <w:rPr>
          <w:color w:val="FF0000"/>
          <w:lang w:val="en-GB"/>
        </w:rPr>
        <w:t xml:space="preserve">published in 2015 </w:t>
      </w:r>
      <w:r w:rsidR="00BE71D8">
        <w:rPr>
          <w:color w:val="FF0000"/>
          <w:lang w:val="en-GB"/>
        </w:rPr>
        <w:t xml:space="preserve">(8). </w:t>
      </w:r>
      <w:r>
        <w:rPr>
          <w:color w:val="FF0000"/>
          <w:lang w:val="en-GB"/>
        </w:rPr>
        <w:t xml:space="preserve"> In this </w:t>
      </w:r>
      <w:r w:rsidRPr="00FD0557">
        <w:rPr>
          <w:color w:val="FF0000"/>
          <w:lang w:val="en-GB"/>
        </w:rPr>
        <w:t xml:space="preserve"> </w:t>
      </w:r>
      <w:r>
        <w:rPr>
          <w:color w:val="FF0000"/>
          <w:lang w:val="en-GB"/>
        </w:rPr>
        <w:t xml:space="preserve">report, </w:t>
      </w:r>
      <w:r w:rsidRPr="00FD0557">
        <w:rPr>
          <w:color w:val="FF0000"/>
          <w:lang w:val="en-GB"/>
        </w:rPr>
        <w:t>all the Italian regional and interregional registries for rare diseases have</w:t>
      </w:r>
      <w:r w:rsidR="00BE71D8">
        <w:rPr>
          <w:color w:val="FF0000"/>
          <w:lang w:val="en-GB"/>
        </w:rPr>
        <w:t xml:space="preserve"> been cited according to CoBRA, for instance:</w:t>
      </w:r>
    </w:p>
    <w:p w:rsidR="00FD0557" w:rsidRPr="004C3D87" w:rsidRDefault="00FD0557" w:rsidP="004C3D87">
      <w:pPr>
        <w:spacing w:line="480" w:lineRule="auto"/>
        <w:ind w:left="567"/>
        <w:jc w:val="both"/>
        <w:rPr>
          <w:color w:val="FF0000"/>
          <w:lang w:val="en-GB"/>
        </w:rPr>
      </w:pPr>
      <w:r w:rsidRPr="00FD0557">
        <w:rPr>
          <w:color w:val="FF0000"/>
          <w:lang w:val="en-GB"/>
        </w:rPr>
        <w:t>Registro Regionale Malattie Rare della Regione Lazio</w:t>
      </w:r>
      <w:r w:rsidRPr="00BE71D8">
        <w:rPr>
          <w:color w:val="FF0000"/>
          <w:lang w:val="en-GB"/>
        </w:rPr>
        <w:t>.</w:t>
      </w:r>
      <w:r w:rsidRPr="00FD0557">
        <w:rPr>
          <w:color w:val="FF0000"/>
          <w:lang w:val="en-GB"/>
        </w:rPr>
        <w:t xml:space="preserve"> Lazio</w:t>
      </w:r>
      <w:r w:rsidRPr="00BE71D8">
        <w:rPr>
          <w:color w:val="FF0000"/>
          <w:lang w:val="en-GB"/>
        </w:rPr>
        <w:t>.</w:t>
      </w:r>
      <w:r w:rsidRPr="00FD0557">
        <w:rPr>
          <w:color w:val="FF0000"/>
          <w:lang w:val="en-GB"/>
        </w:rPr>
        <w:t xml:space="preserve"> Italia; Last Access: June 30, 2012. [BIORESOURCE]</w:t>
      </w:r>
    </w:p>
    <w:p w:rsidR="00E77949" w:rsidRDefault="00BE71D8" w:rsidP="00B46AF4">
      <w:pPr>
        <w:spacing w:line="480" w:lineRule="auto"/>
        <w:jc w:val="both"/>
        <w:rPr>
          <w:lang w:val="en-GB"/>
        </w:rPr>
      </w:pPr>
      <w:r w:rsidRPr="00BE71D8">
        <w:rPr>
          <w:color w:val="FF0000"/>
          <w:lang w:val="en-GB"/>
        </w:rPr>
        <w:t>Other p</w:t>
      </w:r>
      <w:r w:rsidR="002354FC" w:rsidRPr="00BE71D8">
        <w:rPr>
          <w:color w:val="FF0000"/>
          <w:lang w:val="en-GB"/>
        </w:rPr>
        <w:t xml:space="preserve">ractical examples of alternative ways to reference </w:t>
      </w:r>
      <w:r w:rsidRPr="00BE71D8">
        <w:rPr>
          <w:color w:val="FF0000"/>
          <w:lang w:val="en-GB"/>
        </w:rPr>
        <w:t>different types of</w:t>
      </w:r>
      <w:r w:rsidR="002354FC" w:rsidRPr="00BE71D8">
        <w:rPr>
          <w:color w:val="FF0000"/>
          <w:lang w:val="en-GB"/>
        </w:rPr>
        <w:t xml:space="preserve"> bioresource</w:t>
      </w:r>
      <w:r w:rsidRPr="00BE71D8">
        <w:rPr>
          <w:color w:val="FF0000"/>
          <w:lang w:val="en-GB"/>
        </w:rPr>
        <w:t>s</w:t>
      </w:r>
      <w:r w:rsidR="002354FC" w:rsidRPr="00BE71D8">
        <w:rPr>
          <w:color w:val="FF0000"/>
          <w:lang w:val="en-GB"/>
        </w:rPr>
        <w:t xml:space="preserve"> are reported in the guideline (7).</w:t>
      </w:r>
    </w:p>
    <w:p w:rsidR="000434AC" w:rsidRDefault="00803A73" w:rsidP="00B46AF4">
      <w:pPr>
        <w:spacing w:line="480" w:lineRule="auto"/>
        <w:jc w:val="both"/>
        <w:rPr>
          <w:lang w:val="en-GB"/>
        </w:rPr>
      </w:pPr>
      <w:r>
        <w:rPr>
          <w:lang w:val="en-GB"/>
        </w:rPr>
        <w:lastRenderedPageBreak/>
        <w:t>As the name suggests</w:t>
      </w:r>
      <w:r w:rsidR="008849D4">
        <w:rPr>
          <w:lang w:val="en-GB"/>
        </w:rPr>
        <w:t>,</w:t>
      </w:r>
      <w:r>
        <w:rPr>
          <w:lang w:val="en-GB"/>
        </w:rPr>
        <w:t xml:space="preserve"> a </w:t>
      </w:r>
      <w:r w:rsidR="00677185">
        <w:rPr>
          <w:lang w:val="en-GB"/>
        </w:rPr>
        <w:t>‘</w:t>
      </w:r>
      <w:r>
        <w:rPr>
          <w:lang w:val="en-GB"/>
        </w:rPr>
        <w:t>reference</w:t>
      </w:r>
      <w:r w:rsidR="00677185">
        <w:rPr>
          <w:lang w:val="en-GB"/>
        </w:rPr>
        <w:t>’</w:t>
      </w:r>
      <w:r>
        <w:rPr>
          <w:lang w:val="en-GB"/>
        </w:rPr>
        <w:t xml:space="preserve"> </w:t>
      </w:r>
      <w:r w:rsidR="00677185">
        <w:rPr>
          <w:lang w:val="en-GB"/>
        </w:rPr>
        <w:t xml:space="preserve">(from </w:t>
      </w:r>
      <w:r w:rsidR="008849D4">
        <w:rPr>
          <w:lang w:val="en-GB"/>
        </w:rPr>
        <w:t xml:space="preserve">the </w:t>
      </w:r>
      <w:r w:rsidR="00677185">
        <w:rPr>
          <w:lang w:val="en-GB"/>
        </w:rPr>
        <w:t xml:space="preserve">Latin </w:t>
      </w:r>
      <w:r w:rsidR="00677185" w:rsidRPr="00677185">
        <w:rPr>
          <w:i/>
          <w:lang w:val="en-GB"/>
        </w:rPr>
        <w:t>re</w:t>
      </w:r>
      <w:r w:rsidR="00311728">
        <w:rPr>
          <w:i/>
          <w:lang w:val="en-GB"/>
        </w:rPr>
        <w:t>-</w:t>
      </w:r>
      <w:r w:rsidR="00677185" w:rsidRPr="00677185">
        <w:rPr>
          <w:i/>
          <w:lang w:val="en-GB"/>
        </w:rPr>
        <w:t>ferre</w:t>
      </w:r>
      <w:r w:rsidR="00677185">
        <w:rPr>
          <w:lang w:val="en-GB"/>
        </w:rPr>
        <w:t xml:space="preserve">, </w:t>
      </w:r>
      <w:r w:rsidR="00311728">
        <w:rPr>
          <w:lang w:val="en-GB"/>
        </w:rPr>
        <w:t xml:space="preserve">to carry back) connects </w:t>
      </w:r>
      <w:r>
        <w:rPr>
          <w:lang w:val="en-GB"/>
        </w:rPr>
        <w:t>one object with another, for instance t</w:t>
      </w:r>
      <w:r w:rsidR="005158A5">
        <w:rPr>
          <w:lang w:val="en-GB"/>
        </w:rPr>
        <w:t xml:space="preserve">he work of a researcher with a </w:t>
      </w:r>
      <w:r>
        <w:rPr>
          <w:lang w:val="en-GB"/>
        </w:rPr>
        <w:t xml:space="preserve">previous </w:t>
      </w:r>
      <w:r w:rsidR="005158A5">
        <w:rPr>
          <w:lang w:val="en-GB"/>
        </w:rPr>
        <w:t xml:space="preserve">work </w:t>
      </w:r>
      <w:r>
        <w:rPr>
          <w:lang w:val="en-GB"/>
        </w:rPr>
        <w:t xml:space="preserve">cited in the text. </w:t>
      </w:r>
      <w:r w:rsidR="00311728">
        <w:rPr>
          <w:lang w:val="en-GB"/>
        </w:rPr>
        <w:t>The References</w:t>
      </w:r>
      <w:r w:rsidR="008849D4">
        <w:rPr>
          <w:lang w:val="en-GB"/>
        </w:rPr>
        <w:t>, therefore,</w:t>
      </w:r>
      <w:r w:rsidR="00311728">
        <w:rPr>
          <w:lang w:val="en-GB"/>
        </w:rPr>
        <w:t xml:space="preserve"> is the section where information </w:t>
      </w:r>
      <w:r w:rsidR="000B1028">
        <w:rPr>
          <w:lang w:val="en-GB"/>
        </w:rPr>
        <w:t xml:space="preserve">useful for </w:t>
      </w:r>
      <w:r w:rsidR="00311728">
        <w:rPr>
          <w:lang w:val="en-GB"/>
        </w:rPr>
        <w:t>‘</w:t>
      </w:r>
      <w:r w:rsidR="000B1028">
        <w:rPr>
          <w:lang w:val="en-GB"/>
        </w:rPr>
        <w:t>retrieving</w:t>
      </w:r>
      <w:r w:rsidR="00311728">
        <w:rPr>
          <w:lang w:val="en-GB"/>
        </w:rPr>
        <w:t>’</w:t>
      </w:r>
      <w:r w:rsidR="000B1028">
        <w:rPr>
          <w:lang w:val="en-GB"/>
        </w:rPr>
        <w:t xml:space="preserve"> </w:t>
      </w:r>
      <w:r w:rsidR="006C2138">
        <w:rPr>
          <w:lang w:val="en-GB"/>
        </w:rPr>
        <w:t xml:space="preserve">are </w:t>
      </w:r>
      <w:r w:rsidR="00311728">
        <w:rPr>
          <w:lang w:val="en-GB"/>
        </w:rPr>
        <w:t>stored</w:t>
      </w:r>
      <w:r w:rsidR="00972263">
        <w:rPr>
          <w:lang w:val="en-GB"/>
        </w:rPr>
        <w:t xml:space="preserve">. </w:t>
      </w:r>
      <w:r w:rsidR="00543152">
        <w:rPr>
          <w:lang w:val="en-GB"/>
        </w:rPr>
        <w:t xml:space="preserve">It is exactly </w:t>
      </w:r>
      <w:r w:rsidR="008849D4">
        <w:rPr>
          <w:lang w:val="en-GB"/>
        </w:rPr>
        <w:t xml:space="preserve">from the citations listed in the References </w:t>
      </w:r>
      <w:r w:rsidR="00543152">
        <w:rPr>
          <w:lang w:val="en-GB"/>
        </w:rPr>
        <w:t xml:space="preserve">that </w:t>
      </w:r>
      <w:r w:rsidR="000434AC">
        <w:rPr>
          <w:lang w:val="en-GB"/>
        </w:rPr>
        <w:t xml:space="preserve">highly technological </w:t>
      </w:r>
      <w:r w:rsidR="008849D4">
        <w:rPr>
          <w:lang w:val="en-GB"/>
        </w:rPr>
        <w:t xml:space="preserve">bibliographic databases </w:t>
      </w:r>
      <w:r w:rsidR="00BB32B7">
        <w:rPr>
          <w:lang w:val="en-GB"/>
        </w:rPr>
        <w:t>retrieve the information</w:t>
      </w:r>
      <w:r w:rsidR="008849D4">
        <w:rPr>
          <w:lang w:val="en-GB"/>
        </w:rPr>
        <w:t xml:space="preserve"> they need for their statistical analysis (like Web of Science,  </w:t>
      </w:r>
      <w:r w:rsidR="000434AC">
        <w:rPr>
          <w:lang w:val="en-GB"/>
        </w:rPr>
        <w:t>which calculates</w:t>
      </w:r>
      <w:r w:rsidR="008849D4">
        <w:rPr>
          <w:lang w:val="en-GB"/>
        </w:rPr>
        <w:t xml:space="preserve"> the Impact Factor in the Journal Citation Report) or </w:t>
      </w:r>
      <w:r w:rsidR="000434AC">
        <w:rPr>
          <w:lang w:val="en-GB"/>
        </w:rPr>
        <w:t xml:space="preserve">for their </w:t>
      </w:r>
      <w:r w:rsidR="008849D4">
        <w:rPr>
          <w:lang w:val="en-GB"/>
        </w:rPr>
        <w:t>cross-reference systems (like  CrossRef that provides a citation linking network of about 75 million journal articles).</w:t>
      </w:r>
      <w:r w:rsidR="00BB32B7">
        <w:rPr>
          <w:lang w:val="en-GB"/>
        </w:rPr>
        <w:t xml:space="preserve"> </w:t>
      </w:r>
    </w:p>
    <w:p w:rsidR="001B218C" w:rsidRDefault="000434AC" w:rsidP="00B46AF4">
      <w:pPr>
        <w:spacing w:line="480" w:lineRule="auto"/>
        <w:jc w:val="both"/>
        <w:rPr>
          <w:lang w:val="en-GB"/>
        </w:rPr>
      </w:pPr>
      <w:r>
        <w:rPr>
          <w:lang w:val="en-GB"/>
        </w:rPr>
        <w:t xml:space="preserve">Just imagine the potential </w:t>
      </w:r>
      <w:r w:rsidR="00367A39">
        <w:rPr>
          <w:lang w:val="en-GB"/>
        </w:rPr>
        <w:t xml:space="preserve">advantages </w:t>
      </w:r>
      <w:r>
        <w:rPr>
          <w:lang w:val="en-GB"/>
        </w:rPr>
        <w:t>of making the bioresources enter these</w:t>
      </w:r>
      <w:r w:rsidR="001B218C">
        <w:rPr>
          <w:lang w:val="en-GB"/>
        </w:rPr>
        <w:t xml:space="preserve"> systems. Metrics could determine the influence of a given biobank in the scientific </w:t>
      </w:r>
      <w:r w:rsidR="008C1992">
        <w:rPr>
          <w:lang w:val="en-GB"/>
        </w:rPr>
        <w:t>production</w:t>
      </w:r>
      <w:r w:rsidR="001B218C">
        <w:rPr>
          <w:lang w:val="en-GB"/>
        </w:rPr>
        <w:t xml:space="preserve"> and in the marketplace. The activity of a biobank could be tracked and </w:t>
      </w:r>
      <w:r w:rsidR="008C1992">
        <w:rPr>
          <w:lang w:val="en-GB"/>
        </w:rPr>
        <w:t>valued</w:t>
      </w:r>
      <w:r w:rsidR="001B218C">
        <w:rPr>
          <w:lang w:val="en-GB"/>
        </w:rPr>
        <w:t xml:space="preserve">. </w:t>
      </w:r>
      <w:r w:rsidR="008C1992">
        <w:rPr>
          <w:lang w:val="en-GB"/>
        </w:rPr>
        <w:t>It will then be more visible and useful for research. It could help in funding and strategic decisions.</w:t>
      </w:r>
    </w:p>
    <w:p w:rsidR="00A42D1D" w:rsidRDefault="00A42D1D" w:rsidP="00B46AF4">
      <w:pPr>
        <w:spacing w:line="480" w:lineRule="auto"/>
        <w:jc w:val="both"/>
        <w:rPr>
          <w:lang w:val="en-GB"/>
        </w:rPr>
      </w:pPr>
    </w:p>
    <w:p w:rsidR="00813EA8" w:rsidRPr="007450C2" w:rsidRDefault="007450C2" w:rsidP="00B46AF4">
      <w:pPr>
        <w:spacing w:line="480" w:lineRule="auto"/>
        <w:jc w:val="both"/>
        <w:rPr>
          <w:lang w:val="en-GB"/>
        </w:rPr>
      </w:pPr>
      <w:r>
        <w:rPr>
          <w:lang w:val="en-GB"/>
        </w:rPr>
        <w:t>In conclusion, h</w:t>
      </w:r>
      <w:r w:rsidR="00813EA8">
        <w:rPr>
          <w:lang w:val="en-GB"/>
        </w:rPr>
        <w:t xml:space="preserve">uge economic investments are allocated to human specimen biobanking, which is becoming increasingly important in scientific and medical research, but no specific literature exists for </w:t>
      </w:r>
      <w:r w:rsidR="008C1992">
        <w:rPr>
          <w:lang w:val="en-GB"/>
        </w:rPr>
        <w:t>measuring</w:t>
      </w:r>
      <w:r w:rsidR="00813EA8">
        <w:rPr>
          <w:lang w:val="en-GB"/>
        </w:rPr>
        <w:t xml:space="preserve"> the benefits derived from the use of bioresources, from their application and from the dissemination of the results (1).  Despite the fact that billions of dollars are spent annually on biobank specimens</w:t>
      </w:r>
      <w:r w:rsidR="004F2FF2">
        <w:rPr>
          <w:lang w:val="en-GB"/>
        </w:rPr>
        <w:t xml:space="preserve"> </w:t>
      </w:r>
      <w:r w:rsidR="004F2FF2" w:rsidRPr="008815A5">
        <w:rPr>
          <w:color w:val="FF0000"/>
          <w:lang w:val="en-GB"/>
        </w:rPr>
        <w:t>(9)</w:t>
      </w:r>
      <w:r w:rsidR="00813EA8" w:rsidRPr="008815A5">
        <w:rPr>
          <w:color w:val="FF0000"/>
          <w:lang w:val="en-GB"/>
        </w:rPr>
        <w:t>,</w:t>
      </w:r>
      <w:r w:rsidR="00813EA8">
        <w:rPr>
          <w:lang w:val="en-GB"/>
        </w:rPr>
        <w:t xml:space="preserve"> </w:t>
      </w:r>
      <w:r w:rsidR="004F2FF2">
        <w:rPr>
          <w:lang w:val="en-GB"/>
        </w:rPr>
        <w:t xml:space="preserve">and that biobanking has now a global dimension </w:t>
      </w:r>
      <w:r w:rsidR="004F2FF2" w:rsidRPr="008815A5">
        <w:rPr>
          <w:color w:val="FF0000"/>
          <w:lang w:val="en-GB"/>
        </w:rPr>
        <w:t>(10),</w:t>
      </w:r>
      <w:r w:rsidR="004F2FF2">
        <w:rPr>
          <w:lang w:val="en-GB"/>
        </w:rPr>
        <w:t xml:space="preserve"> </w:t>
      </w:r>
      <w:r w:rsidR="00813EA8">
        <w:rPr>
          <w:lang w:val="en-GB"/>
        </w:rPr>
        <w:t>little information is reported about their use in journal articles (and in PubMed) (</w:t>
      </w:r>
      <w:r>
        <w:rPr>
          <w:lang w:val="en-GB"/>
        </w:rPr>
        <w:t>6</w:t>
      </w:r>
      <w:r w:rsidR="00813EA8">
        <w:rPr>
          <w:lang w:val="en-GB"/>
        </w:rPr>
        <w:t xml:space="preserve">) and </w:t>
      </w:r>
      <w:r>
        <w:rPr>
          <w:lang w:val="en-GB"/>
        </w:rPr>
        <w:t xml:space="preserve"> v</w:t>
      </w:r>
      <w:r w:rsidR="00813EA8" w:rsidRPr="007450C2">
        <w:rPr>
          <w:lang w:val="en-GB"/>
        </w:rPr>
        <w:t xml:space="preserve">alue metrics </w:t>
      </w:r>
      <w:r w:rsidRPr="007450C2">
        <w:rPr>
          <w:lang w:val="en-GB"/>
        </w:rPr>
        <w:t>have not yet been defined</w:t>
      </w:r>
      <w:r w:rsidR="00813EA8" w:rsidRPr="007450C2">
        <w:rPr>
          <w:lang w:val="en-GB"/>
        </w:rPr>
        <w:t xml:space="preserve"> </w:t>
      </w:r>
      <w:r w:rsidR="005B7CD5" w:rsidRPr="008815A5">
        <w:rPr>
          <w:color w:val="FF0000"/>
          <w:lang w:val="en-GB"/>
        </w:rPr>
        <w:t>(11</w:t>
      </w:r>
      <w:r w:rsidRPr="008815A5">
        <w:rPr>
          <w:color w:val="FF0000"/>
          <w:lang w:val="en-GB"/>
        </w:rPr>
        <w:t>).</w:t>
      </w:r>
    </w:p>
    <w:p w:rsidR="001B218C" w:rsidRDefault="001B218C" w:rsidP="00B46AF4">
      <w:pPr>
        <w:spacing w:line="480" w:lineRule="auto"/>
        <w:jc w:val="both"/>
        <w:rPr>
          <w:lang w:val="en-GB"/>
        </w:rPr>
      </w:pPr>
    </w:p>
    <w:p w:rsidR="00640A49" w:rsidRDefault="00F34599" w:rsidP="00B46AF4">
      <w:pPr>
        <w:spacing w:line="480" w:lineRule="auto"/>
        <w:jc w:val="both"/>
        <w:rPr>
          <w:color w:val="FF0000"/>
          <w:lang w:val="en-GB"/>
        </w:rPr>
      </w:pPr>
      <w:r>
        <w:rPr>
          <w:lang w:val="en-GB"/>
        </w:rPr>
        <w:t>However, s</w:t>
      </w:r>
      <w:r w:rsidR="001B218C">
        <w:rPr>
          <w:lang w:val="en-GB"/>
        </w:rPr>
        <w:t>tandardi</w:t>
      </w:r>
      <w:r>
        <w:rPr>
          <w:lang w:val="en-GB"/>
        </w:rPr>
        <w:t>zing</w:t>
      </w:r>
      <w:r w:rsidR="001B218C">
        <w:rPr>
          <w:lang w:val="en-GB"/>
        </w:rPr>
        <w:t xml:space="preserve"> a bioresource citation and placing it in the References section of a </w:t>
      </w:r>
      <w:r>
        <w:rPr>
          <w:lang w:val="en-GB"/>
        </w:rPr>
        <w:t>paper seems more easily said tha</w:t>
      </w:r>
      <w:r w:rsidR="001B218C">
        <w:rPr>
          <w:lang w:val="en-GB"/>
        </w:rPr>
        <w:t xml:space="preserve">n done. The </w:t>
      </w:r>
      <w:r w:rsidR="00C338A0">
        <w:rPr>
          <w:lang w:val="en-GB"/>
        </w:rPr>
        <w:t>lack of a unique identifier</w:t>
      </w:r>
      <w:r w:rsidR="00C53D45">
        <w:rPr>
          <w:lang w:val="en-GB"/>
        </w:rPr>
        <w:t xml:space="preserve"> for the bioresource </w:t>
      </w:r>
      <w:r w:rsidR="00C338A0">
        <w:rPr>
          <w:lang w:val="en-GB"/>
        </w:rPr>
        <w:t>(as, for instance, the clinical trials registry number</w:t>
      </w:r>
      <w:r w:rsidR="001B218C">
        <w:rPr>
          <w:lang w:val="en-GB"/>
        </w:rPr>
        <w:t xml:space="preserve">) does not help. However the different citation patterns proposed in the CoBRA guideline </w:t>
      </w:r>
      <w:r w:rsidR="00ED7990">
        <w:rPr>
          <w:lang w:val="en-GB"/>
        </w:rPr>
        <w:t>are</w:t>
      </w:r>
      <w:r w:rsidR="001B218C">
        <w:rPr>
          <w:lang w:val="en-GB"/>
        </w:rPr>
        <w:t xml:space="preserve"> designed to cover different situations </w:t>
      </w:r>
      <w:r w:rsidR="001B218C">
        <w:rPr>
          <w:lang w:val="en-GB"/>
        </w:rPr>
        <w:lastRenderedPageBreak/>
        <w:t>and are open to future developments.</w:t>
      </w:r>
      <w:r w:rsidR="008C1992">
        <w:rPr>
          <w:lang w:val="en-GB"/>
        </w:rPr>
        <w:t xml:space="preserve"> </w:t>
      </w:r>
      <w:r w:rsidR="00715E72" w:rsidRPr="00715E72">
        <w:rPr>
          <w:color w:val="FF0000"/>
          <w:lang w:val="en-GB"/>
        </w:rPr>
        <w:t xml:space="preserve">The </w:t>
      </w:r>
      <w:r w:rsidR="00715E72">
        <w:rPr>
          <w:color w:val="FF0000"/>
          <w:lang w:val="en-GB"/>
        </w:rPr>
        <w:t>understanding and the support</w:t>
      </w:r>
      <w:r w:rsidR="00715E72" w:rsidRPr="00715E72">
        <w:rPr>
          <w:color w:val="FF0000"/>
          <w:lang w:val="en-GB"/>
        </w:rPr>
        <w:t xml:space="preserve"> of both editors and researchers is essential in the implementation of CoBRA</w:t>
      </w:r>
      <w:r w:rsidR="00715E72">
        <w:rPr>
          <w:lang w:val="en-GB"/>
        </w:rPr>
        <w:t xml:space="preserve">. </w:t>
      </w:r>
      <w:r w:rsidR="00640A49" w:rsidRPr="00640A49">
        <w:rPr>
          <w:color w:val="FF0000"/>
          <w:lang w:val="en-GB"/>
        </w:rPr>
        <w:t>The inclusion of CoBRA citation requirements in the Material Transfer Agreements (MTA) could be of great help to ensure that all scientific works based on the samples should cite the resource, and that  researchers and prospective authors would do it in accordance with the instructi</w:t>
      </w:r>
      <w:r w:rsidR="00640A49">
        <w:rPr>
          <w:color w:val="FF0000"/>
          <w:lang w:val="en-GB"/>
        </w:rPr>
        <w:t xml:space="preserve">ons contained in the guideline. </w:t>
      </w:r>
    </w:p>
    <w:p w:rsidR="001B218C" w:rsidRPr="00640A49" w:rsidRDefault="00C338A0" w:rsidP="00B46AF4">
      <w:pPr>
        <w:spacing w:line="480" w:lineRule="auto"/>
        <w:jc w:val="both"/>
        <w:rPr>
          <w:color w:val="FF0000"/>
          <w:lang w:val="en-GB"/>
        </w:rPr>
      </w:pPr>
      <w:r>
        <w:rPr>
          <w:lang w:val="en-GB"/>
        </w:rPr>
        <w:t>I</w:t>
      </w:r>
      <w:r w:rsidR="007450C2">
        <w:rPr>
          <w:lang w:val="en-GB"/>
        </w:rPr>
        <w:t>t will take t</w:t>
      </w:r>
      <w:r w:rsidR="0001326E">
        <w:rPr>
          <w:lang w:val="en-GB"/>
        </w:rPr>
        <w:t>ime</w:t>
      </w:r>
      <w:r>
        <w:rPr>
          <w:lang w:val="en-GB"/>
        </w:rPr>
        <w:t xml:space="preserve"> but c</w:t>
      </w:r>
      <w:r w:rsidR="0001326E">
        <w:rPr>
          <w:lang w:val="en-GB"/>
        </w:rPr>
        <w:t>ertainly the bases are laid and CoBRA</w:t>
      </w:r>
      <w:r w:rsidR="00436C8C">
        <w:rPr>
          <w:lang w:val="en-GB"/>
        </w:rPr>
        <w:t>,</w:t>
      </w:r>
      <w:r w:rsidR="0001326E">
        <w:rPr>
          <w:lang w:val="en-GB"/>
        </w:rPr>
        <w:t xml:space="preserve"> with its proposed citation system </w:t>
      </w:r>
      <w:r w:rsidR="00436C8C">
        <w:rPr>
          <w:lang w:val="en-GB"/>
        </w:rPr>
        <w:t xml:space="preserve">in journal articles, </w:t>
      </w:r>
      <w:r w:rsidR="0001326E">
        <w:rPr>
          <w:lang w:val="en-GB"/>
        </w:rPr>
        <w:t xml:space="preserve">is at the moment </w:t>
      </w:r>
      <w:r>
        <w:rPr>
          <w:lang w:val="en-GB"/>
        </w:rPr>
        <w:t>the only</w:t>
      </w:r>
      <w:r w:rsidR="0001326E">
        <w:rPr>
          <w:lang w:val="en-GB"/>
        </w:rPr>
        <w:t xml:space="preserve"> solution </w:t>
      </w:r>
      <w:r>
        <w:rPr>
          <w:lang w:val="en-GB"/>
        </w:rPr>
        <w:t xml:space="preserve">to increase </w:t>
      </w:r>
      <w:r w:rsidR="00B46AF4">
        <w:rPr>
          <w:lang w:val="en-GB"/>
        </w:rPr>
        <w:t>visibility</w:t>
      </w:r>
      <w:r w:rsidR="00436C8C">
        <w:rPr>
          <w:lang w:val="en-GB"/>
        </w:rPr>
        <w:t xml:space="preserve"> of </w:t>
      </w:r>
      <w:r w:rsidR="008C1992">
        <w:rPr>
          <w:lang w:val="en-GB"/>
        </w:rPr>
        <w:t>biobanks. It will hopefully</w:t>
      </w:r>
      <w:r w:rsidR="00436C8C">
        <w:rPr>
          <w:lang w:val="en-GB"/>
        </w:rPr>
        <w:t xml:space="preserve"> promote bioresources sharing</w:t>
      </w:r>
      <w:r w:rsidR="00B46AF4">
        <w:rPr>
          <w:lang w:val="en-GB"/>
        </w:rPr>
        <w:t>.</w:t>
      </w:r>
      <w:r w:rsidR="0026618D">
        <w:rPr>
          <w:lang w:val="en-GB"/>
        </w:rPr>
        <w:t xml:space="preserve"> </w:t>
      </w:r>
      <w:r w:rsidR="0026618D" w:rsidRPr="0026618D">
        <w:rPr>
          <w:color w:val="FF0000"/>
          <w:lang w:val="en-GB"/>
        </w:rPr>
        <w:t>Associations like EQUATOR</w:t>
      </w:r>
      <w:r w:rsidR="00CB2026">
        <w:rPr>
          <w:color w:val="FF0000"/>
          <w:lang w:val="en-GB"/>
        </w:rPr>
        <w:t xml:space="preserve">, a network that works to improve the reliability and value of medical research literature, and EASE, an international association in science communication and editing, </w:t>
      </w:r>
      <w:r w:rsidR="0026618D" w:rsidRPr="0026618D">
        <w:rPr>
          <w:color w:val="FF0000"/>
          <w:lang w:val="en-GB"/>
        </w:rPr>
        <w:t xml:space="preserve">are </w:t>
      </w:r>
      <w:r w:rsidR="00CB2026">
        <w:rPr>
          <w:color w:val="FF0000"/>
          <w:lang w:val="en-GB"/>
        </w:rPr>
        <w:t>both</w:t>
      </w:r>
      <w:r w:rsidR="0026618D" w:rsidRPr="0026618D">
        <w:rPr>
          <w:color w:val="FF0000"/>
          <w:lang w:val="en-GB"/>
        </w:rPr>
        <w:t xml:space="preserve"> supporting </w:t>
      </w:r>
      <w:r w:rsidR="00CB2026">
        <w:rPr>
          <w:color w:val="FF0000"/>
          <w:lang w:val="en-GB"/>
        </w:rPr>
        <w:t>CoBRA</w:t>
      </w:r>
      <w:r w:rsidR="0026618D" w:rsidRPr="0026618D">
        <w:rPr>
          <w:color w:val="FF0000"/>
          <w:lang w:val="en-GB"/>
        </w:rPr>
        <w:t xml:space="preserve"> and will provide updates in their </w:t>
      </w:r>
      <w:r w:rsidR="00CB2026">
        <w:rPr>
          <w:color w:val="FF0000"/>
          <w:lang w:val="en-GB"/>
        </w:rPr>
        <w:t xml:space="preserve">own </w:t>
      </w:r>
      <w:r w:rsidR="0026618D" w:rsidRPr="0026618D">
        <w:rPr>
          <w:color w:val="FF0000"/>
          <w:lang w:val="en-GB"/>
        </w:rPr>
        <w:t>websites</w:t>
      </w:r>
      <w:r w:rsidR="00CB2026">
        <w:rPr>
          <w:color w:val="FF0000"/>
          <w:lang w:val="en-GB"/>
        </w:rPr>
        <w:t>.</w:t>
      </w:r>
    </w:p>
    <w:p w:rsidR="001B218C" w:rsidRDefault="001B218C" w:rsidP="007443FA">
      <w:pPr>
        <w:spacing w:line="360" w:lineRule="auto"/>
        <w:jc w:val="both"/>
        <w:rPr>
          <w:lang w:val="en-GB"/>
        </w:rPr>
      </w:pPr>
    </w:p>
    <w:p w:rsidR="002A4E84" w:rsidRPr="00135195" w:rsidRDefault="002A4E84" w:rsidP="002A4E84">
      <w:pPr>
        <w:spacing w:line="360" w:lineRule="auto"/>
        <w:jc w:val="both"/>
        <w:rPr>
          <w:b/>
          <w:lang w:val="en-GB"/>
        </w:rPr>
      </w:pPr>
      <w:r w:rsidRPr="00F41ED6">
        <w:rPr>
          <w:b/>
          <w:lang w:val="en-GB"/>
        </w:rPr>
        <w:t>Acknowledgements</w:t>
      </w:r>
    </w:p>
    <w:p w:rsidR="002A4E84" w:rsidRDefault="002A4E84" w:rsidP="002A4E84">
      <w:pPr>
        <w:spacing w:line="480" w:lineRule="auto"/>
        <w:jc w:val="both"/>
        <w:rPr>
          <w:lang w:val="en-GB"/>
        </w:rPr>
      </w:pPr>
    </w:p>
    <w:p w:rsidR="002A4E84" w:rsidRDefault="002A4E84" w:rsidP="002A4E84">
      <w:pPr>
        <w:spacing w:line="480" w:lineRule="auto"/>
        <w:jc w:val="both"/>
        <w:rPr>
          <w:lang w:val="en-GB"/>
        </w:rPr>
      </w:pPr>
      <w:r w:rsidRPr="00F41ED6">
        <w:rPr>
          <w:lang w:val="en-GB"/>
        </w:rPr>
        <w:t>The authors acknowledge the support of the following contracts, partially</w:t>
      </w:r>
      <w:r>
        <w:rPr>
          <w:lang w:val="en-GB"/>
        </w:rPr>
        <w:t xml:space="preserve"> </w:t>
      </w:r>
      <w:r w:rsidRPr="00F41ED6">
        <w:rPr>
          <w:lang w:val="en-GB"/>
        </w:rPr>
        <w:t>funded by the European Commission Seventh Framework Programme FP7:</w:t>
      </w:r>
      <w:r>
        <w:rPr>
          <w:lang w:val="en-GB"/>
        </w:rPr>
        <w:t xml:space="preserve"> </w:t>
      </w:r>
      <w:r w:rsidRPr="00F41ED6">
        <w:rPr>
          <w:lang w:val="en-GB"/>
        </w:rPr>
        <w:t>BioSHaRE-EU project, grant agreement number 261433, theme FP7-HEALTH-2010-single-stage; BBMRI-LPC project, grant agreement number</w:t>
      </w:r>
      <w:r>
        <w:rPr>
          <w:lang w:val="en-GB"/>
        </w:rPr>
        <w:t xml:space="preserve"> </w:t>
      </w:r>
      <w:r w:rsidRPr="00F41ED6">
        <w:rPr>
          <w:lang w:val="en-GB"/>
        </w:rPr>
        <w:t>313010, theme FP7-INFRA-2012-1.1.9. Further support was provided by the</w:t>
      </w:r>
      <w:r>
        <w:rPr>
          <w:lang w:val="en-GB"/>
        </w:rPr>
        <w:t xml:space="preserve"> </w:t>
      </w:r>
      <w:r w:rsidRPr="00F41ED6">
        <w:rPr>
          <w:lang w:val="en-GB"/>
        </w:rPr>
        <w:t>French infrastructure BIOBANQUES funded through ANR (Agence Nationale</w:t>
      </w:r>
    </w:p>
    <w:p w:rsidR="002A4E84" w:rsidRDefault="002A4E84" w:rsidP="002A4E84">
      <w:pPr>
        <w:spacing w:line="480" w:lineRule="auto"/>
        <w:jc w:val="both"/>
        <w:rPr>
          <w:lang w:val="en-GB"/>
        </w:rPr>
      </w:pPr>
      <w:r w:rsidRPr="00F41ED6">
        <w:rPr>
          <w:lang w:val="en-GB"/>
        </w:rPr>
        <w:t xml:space="preserve">de la Recherche). The authors are </w:t>
      </w:r>
      <w:r>
        <w:rPr>
          <w:lang w:val="en-GB"/>
        </w:rPr>
        <w:t xml:space="preserve">also </w:t>
      </w:r>
      <w:r w:rsidRPr="00F41ED6">
        <w:rPr>
          <w:lang w:val="en-GB"/>
        </w:rPr>
        <w:t>grateful to the Italian Ministry of Health</w:t>
      </w:r>
      <w:r>
        <w:rPr>
          <w:lang w:val="en-GB"/>
        </w:rPr>
        <w:t xml:space="preserve"> </w:t>
      </w:r>
      <w:r w:rsidRPr="00F41ED6">
        <w:rPr>
          <w:lang w:val="en-GB"/>
        </w:rPr>
        <w:t>(ISS ref. C0</w:t>
      </w:r>
      <w:r w:rsidR="006F7AB8">
        <w:rPr>
          <w:lang w:val="en-GB"/>
        </w:rPr>
        <w:t>0</w:t>
      </w:r>
      <w:r w:rsidRPr="00F41ED6">
        <w:rPr>
          <w:lang w:val="en-GB"/>
        </w:rPr>
        <w:t>3) and to the Italian Ministry of Education, University and Research</w:t>
      </w:r>
      <w:r>
        <w:rPr>
          <w:lang w:val="en-GB"/>
        </w:rPr>
        <w:t xml:space="preserve"> </w:t>
      </w:r>
      <w:r w:rsidRPr="00F41ED6">
        <w:rPr>
          <w:lang w:val="en-GB"/>
        </w:rPr>
        <w:t>(ISS ref. V16) for the support provided for Italian participation in BBMRI-ERIC.</w:t>
      </w:r>
    </w:p>
    <w:p w:rsidR="007450C2" w:rsidRDefault="007450C2" w:rsidP="007450C2">
      <w:pPr>
        <w:spacing w:line="360" w:lineRule="auto"/>
        <w:jc w:val="both"/>
        <w:rPr>
          <w:lang w:val="en-GB"/>
        </w:rPr>
      </w:pPr>
    </w:p>
    <w:p w:rsidR="004C3D87" w:rsidRDefault="004C3D87" w:rsidP="007443FA">
      <w:pPr>
        <w:spacing w:line="360" w:lineRule="auto"/>
        <w:jc w:val="both"/>
        <w:rPr>
          <w:lang w:val="en-GB"/>
        </w:rPr>
      </w:pPr>
    </w:p>
    <w:p w:rsidR="004C3D87" w:rsidRDefault="004C3D87" w:rsidP="007443FA">
      <w:pPr>
        <w:spacing w:line="360" w:lineRule="auto"/>
        <w:jc w:val="both"/>
        <w:rPr>
          <w:lang w:val="en-GB"/>
        </w:rPr>
      </w:pPr>
    </w:p>
    <w:p w:rsidR="00C80D0E" w:rsidRDefault="00C80D0E" w:rsidP="007443FA">
      <w:pPr>
        <w:spacing w:line="360" w:lineRule="auto"/>
        <w:jc w:val="both"/>
        <w:rPr>
          <w:lang w:val="en-GB"/>
        </w:rPr>
      </w:pPr>
    </w:p>
    <w:p w:rsidR="0087071C" w:rsidRDefault="0087071C" w:rsidP="007443FA">
      <w:pPr>
        <w:spacing w:line="360" w:lineRule="auto"/>
        <w:jc w:val="both"/>
        <w:rPr>
          <w:b/>
          <w:lang w:val="en-GB"/>
        </w:rPr>
      </w:pPr>
      <w:r w:rsidRPr="0087071C">
        <w:rPr>
          <w:b/>
          <w:lang w:val="en-GB"/>
        </w:rPr>
        <w:lastRenderedPageBreak/>
        <w:t>References</w:t>
      </w:r>
    </w:p>
    <w:p w:rsidR="00C80D0E" w:rsidRPr="0087071C" w:rsidRDefault="00C80D0E" w:rsidP="007443FA">
      <w:pPr>
        <w:spacing w:line="360" w:lineRule="auto"/>
        <w:jc w:val="both"/>
        <w:rPr>
          <w:b/>
          <w:lang w:val="en-GB"/>
        </w:rPr>
      </w:pPr>
    </w:p>
    <w:p w:rsidR="00C80D0E" w:rsidRPr="009C4226" w:rsidRDefault="00420621" w:rsidP="007443FA">
      <w:pPr>
        <w:spacing w:line="360" w:lineRule="auto"/>
        <w:jc w:val="both"/>
        <w:rPr>
          <w:lang w:val="fr-FR"/>
        </w:rPr>
      </w:pPr>
      <w:r w:rsidRPr="00420621">
        <w:rPr>
          <w:lang w:val="en-GB"/>
        </w:rPr>
        <w:t xml:space="preserve">1. </w:t>
      </w:r>
      <w:r w:rsidR="00DD6491">
        <w:rPr>
          <w:lang w:val="en-GB"/>
        </w:rPr>
        <w:t xml:space="preserve">Mabile </w:t>
      </w:r>
      <w:r w:rsidR="0087071C" w:rsidRPr="00420621">
        <w:rPr>
          <w:lang w:val="en-GB"/>
        </w:rPr>
        <w:t xml:space="preserve">L, Dalgleish R, Thorisson GA, </w:t>
      </w:r>
      <w:r w:rsidR="0087071C" w:rsidRPr="00A300AD">
        <w:rPr>
          <w:i/>
          <w:lang w:val="en-GB"/>
        </w:rPr>
        <w:t>et al.</w:t>
      </w:r>
      <w:r w:rsidR="0087071C" w:rsidRPr="00420621">
        <w:rPr>
          <w:lang w:val="en-GB"/>
        </w:rPr>
        <w:t xml:space="preserve"> Quantifying the use of bioresources for promoting their sharing in sc</w:t>
      </w:r>
      <w:r w:rsidR="00A300AD">
        <w:rPr>
          <w:lang w:val="en-GB"/>
        </w:rPr>
        <w:t xml:space="preserve">ientific research. </w:t>
      </w:r>
      <w:r w:rsidR="00A300AD" w:rsidRPr="009C4226">
        <w:rPr>
          <w:i/>
          <w:lang w:val="fr-FR"/>
        </w:rPr>
        <w:t xml:space="preserve">GigaScience </w:t>
      </w:r>
      <w:r w:rsidR="0087071C" w:rsidRPr="009C4226">
        <w:rPr>
          <w:lang w:val="fr-FR"/>
        </w:rPr>
        <w:t>2013;2:7. doi:10.1186/2047-217X-2-7.</w:t>
      </w:r>
    </w:p>
    <w:p w:rsidR="008153CE" w:rsidRPr="009C4226" w:rsidRDefault="008153CE" w:rsidP="007443FA">
      <w:pPr>
        <w:spacing w:line="360" w:lineRule="auto"/>
        <w:jc w:val="both"/>
        <w:rPr>
          <w:lang w:val="fr-FR"/>
        </w:rPr>
      </w:pPr>
    </w:p>
    <w:p w:rsidR="007443FA" w:rsidRDefault="00420621" w:rsidP="007443FA">
      <w:pPr>
        <w:spacing w:line="360" w:lineRule="auto"/>
        <w:jc w:val="both"/>
        <w:rPr>
          <w:lang w:val="en-GB"/>
        </w:rPr>
      </w:pPr>
      <w:r w:rsidRPr="009C4226">
        <w:rPr>
          <w:lang w:val="fr-FR"/>
        </w:rPr>
        <w:t xml:space="preserve">2. De Castro P, Calzolari A, Napolitani F, et al. </w:t>
      </w:r>
      <w:r w:rsidRPr="00420621">
        <w:rPr>
          <w:lang w:val="en-GB"/>
        </w:rPr>
        <w:t>Open Data Sharing in the Context of Biores</w:t>
      </w:r>
      <w:r w:rsidR="00A300AD">
        <w:rPr>
          <w:lang w:val="en-GB"/>
        </w:rPr>
        <w:t xml:space="preserve">ources. </w:t>
      </w:r>
      <w:r w:rsidR="00A300AD" w:rsidRPr="00A300AD">
        <w:rPr>
          <w:i/>
          <w:lang w:val="en-GB"/>
        </w:rPr>
        <w:t>Acta Informatica Medica</w:t>
      </w:r>
      <w:r w:rsidRPr="00420621">
        <w:rPr>
          <w:lang w:val="en-GB"/>
        </w:rPr>
        <w:t xml:space="preserve"> 2013;21(4):291-292. doi:10.5455/aim.2013.21.291-292.</w:t>
      </w:r>
    </w:p>
    <w:p w:rsidR="000E0AC4" w:rsidRPr="0034192F" w:rsidRDefault="000E0AC4" w:rsidP="000E0AC4">
      <w:pPr>
        <w:spacing w:line="360" w:lineRule="auto"/>
        <w:jc w:val="both"/>
        <w:rPr>
          <w:lang w:val="en-GB"/>
        </w:rPr>
      </w:pPr>
    </w:p>
    <w:p w:rsidR="00FF4FF4" w:rsidRDefault="00BE0638" w:rsidP="00497D8D">
      <w:pPr>
        <w:spacing w:line="360" w:lineRule="auto"/>
        <w:jc w:val="both"/>
        <w:rPr>
          <w:lang w:val="en-GB"/>
        </w:rPr>
      </w:pPr>
      <w:r>
        <w:rPr>
          <w:lang w:val="en-GB"/>
        </w:rPr>
        <w:t>3</w:t>
      </w:r>
      <w:r w:rsidR="00A8496F">
        <w:rPr>
          <w:lang w:val="en-GB"/>
        </w:rPr>
        <w:t xml:space="preserve">. </w:t>
      </w:r>
      <w:r>
        <w:rPr>
          <w:lang w:val="en-GB"/>
        </w:rPr>
        <w:t xml:space="preserve"> </w:t>
      </w:r>
      <w:hyperlink r:id="rId8" w:history="1">
        <w:r w:rsidR="00FF4FF4" w:rsidRPr="00A90D41">
          <w:rPr>
            <w:rStyle w:val="Lienhypertexte"/>
            <w:lang w:val="en-GB"/>
          </w:rPr>
          <w:t>http://gen2phen.org/groups/brif-bio-resource-impact-factor</w:t>
        </w:r>
      </w:hyperlink>
    </w:p>
    <w:p w:rsidR="006F3160" w:rsidRDefault="006F3160" w:rsidP="00497D8D">
      <w:pPr>
        <w:spacing w:line="360" w:lineRule="auto"/>
        <w:jc w:val="both"/>
        <w:rPr>
          <w:lang w:val="en-GB"/>
        </w:rPr>
      </w:pPr>
    </w:p>
    <w:p w:rsidR="00A8496F" w:rsidRPr="00AE6C70" w:rsidRDefault="00FF4FF4" w:rsidP="00A8496F">
      <w:pPr>
        <w:spacing w:line="360" w:lineRule="auto"/>
        <w:jc w:val="both"/>
        <w:rPr>
          <w:lang w:val="en-GB"/>
        </w:rPr>
      </w:pPr>
      <w:r>
        <w:rPr>
          <w:lang w:val="en-GB"/>
        </w:rPr>
        <w:t>4.</w:t>
      </w:r>
      <w:r w:rsidR="00AE6C70">
        <w:rPr>
          <w:lang w:val="en-GB"/>
        </w:rPr>
        <w:t xml:space="preserve"> </w:t>
      </w:r>
      <w:r w:rsidR="00A8496F" w:rsidRPr="00AE6C70">
        <w:rPr>
          <w:lang w:val="en-GB"/>
        </w:rPr>
        <w:t>Cambon-Thomsen A. Assessing the impact</w:t>
      </w:r>
      <w:r w:rsidR="00A8496F">
        <w:rPr>
          <w:lang w:val="en-GB"/>
        </w:rPr>
        <w:t xml:space="preserve"> </w:t>
      </w:r>
      <w:r w:rsidR="00A8496F" w:rsidRPr="00AE6C70">
        <w:rPr>
          <w:lang w:val="en-GB"/>
        </w:rPr>
        <w:t xml:space="preserve">of biobanks. </w:t>
      </w:r>
      <w:r w:rsidR="00A8496F" w:rsidRPr="00A300AD">
        <w:rPr>
          <w:i/>
          <w:lang w:val="en-GB"/>
        </w:rPr>
        <w:t>Nat Genet</w:t>
      </w:r>
      <w:r w:rsidR="00A8496F" w:rsidRPr="00AE6C70">
        <w:rPr>
          <w:lang w:val="en-GB"/>
        </w:rPr>
        <w:t xml:space="preserve"> 2003;34:25-</w:t>
      </w:r>
      <w:r w:rsidR="00B479F2">
        <w:rPr>
          <w:lang w:val="en-GB"/>
        </w:rPr>
        <w:t>2</w:t>
      </w:r>
      <w:r w:rsidR="00A8496F">
        <w:rPr>
          <w:lang w:val="en-GB"/>
        </w:rPr>
        <w:t>6.</w:t>
      </w:r>
    </w:p>
    <w:p w:rsidR="00A8496F" w:rsidRPr="00A8496F" w:rsidRDefault="00A8496F" w:rsidP="00A8496F">
      <w:pPr>
        <w:widowControl w:val="0"/>
        <w:autoSpaceDE w:val="0"/>
        <w:autoSpaceDN w:val="0"/>
        <w:adjustRightInd w:val="0"/>
        <w:jc w:val="both"/>
        <w:rPr>
          <w:lang w:val="en-GB"/>
        </w:rPr>
      </w:pPr>
      <w:r w:rsidRPr="00A8496F">
        <w:rPr>
          <w:lang w:val="en-GB"/>
        </w:rPr>
        <w:t>doi:10.1038/ng0503-25b</w:t>
      </w:r>
    </w:p>
    <w:p w:rsidR="00AE6C70" w:rsidRPr="00AE6C70" w:rsidRDefault="00AE6C70" w:rsidP="00AE6C70">
      <w:pPr>
        <w:spacing w:line="360" w:lineRule="auto"/>
        <w:jc w:val="both"/>
        <w:rPr>
          <w:lang w:val="en-GB"/>
        </w:rPr>
      </w:pPr>
    </w:p>
    <w:p w:rsidR="00A8496F" w:rsidRDefault="00AE6C70" w:rsidP="00A8496F">
      <w:pPr>
        <w:spacing w:line="360" w:lineRule="auto"/>
        <w:jc w:val="both"/>
        <w:rPr>
          <w:lang w:val="en-GB"/>
        </w:rPr>
      </w:pPr>
      <w:r w:rsidRPr="00AE6C70">
        <w:rPr>
          <w:lang w:val="en-GB"/>
        </w:rPr>
        <w:t xml:space="preserve">5. </w:t>
      </w:r>
      <w:r w:rsidR="00A8496F" w:rsidRPr="00AE6C70">
        <w:rPr>
          <w:lang w:val="en-GB"/>
        </w:rPr>
        <w:t>Cambon-Thomsen A, Thorisson GA,</w:t>
      </w:r>
      <w:r w:rsidR="00A8496F">
        <w:rPr>
          <w:lang w:val="en-GB"/>
        </w:rPr>
        <w:t xml:space="preserve"> </w:t>
      </w:r>
      <w:r w:rsidR="00A8496F" w:rsidRPr="00AE6C70">
        <w:rPr>
          <w:lang w:val="en-GB"/>
        </w:rPr>
        <w:t>Mabile L. The role of a bioresource research</w:t>
      </w:r>
      <w:r w:rsidR="00A8496F">
        <w:rPr>
          <w:lang w:val="en-GB"/>
        </w:rPr>
        <w:t xml:space="preserve"> </w:t>
      </w:r>
      <w:r w:rsidR="00A8496F" w:rsidRPr="00AE6C70">
        <w:rPr>
          <w:lang w:val="en-GB"/>
        </w:rPr>
        <w:t>impact factor as an incentive to</w:t>
      </w:r>
      <w:r w:rsidR="00A8496F">
        <w:rPr>
          <w:lang w:val="en-GB"/>
        </w:rPr>
        <w:t xml:space="preserve"> </w:t>
      </w:r>
      <w:r w:rsidR="00A8496F" w:rsidRPr="00AE6C70">
        <w:rPr>
          <w:lang w:val="en-GB"/>
        </w:rPr>
        <w:t xml:space="preserve">share human bioresources. </w:t>
      </w:r>
      <w:r w:rsidR="00A8496F" w:rsidRPr="00A300AD">
        <w:rPr>
          <w:i/>
          <w:lang w:val="en-GB"/>
        </w:rPr>
        <w:t>Nat Genet</w:t>
      </w:r>
      <w:r w:rsidR="00A8496F">
        <w:rPr>
          <w:lang w:val="en-GB"/>
        </w:rPr>
        <w:t xml:space="preserve"> </w:t>
      </w:r>
      <w:r w:rsidR="00A8496F" w:rsidRPr="00AE6C70">
        <w:rPr>
          <w:lang w:val="en-GB"/>
        </w:rPr>
        <w:t>2011;43:503-</w:t>
      </w:r>
      <w:r w:rsidR="00B479F2">
        <w:rPr>
          <w:lang w:val="en-GB"/>
        </w:rPr>
        <w:t>50</w:t>
      </w:r>
      <w:r w:rsidR="00A8496F" w:rsidRPr="00AE6C70">
        <w:rPr>
          <w:lang w:val="en-GB"/>
        </w:rPr>
        <w:t>4.</w:t>
      </w:r>
    </w:p>
    <w:p w:rsidR="00A8496F" w:rsidRDefault="00A8496F" w:rsidP="00A8496F">
      <w:pPr>
        <w:spacing w:line="360" w:lineRule="auto"/>
        <w:jc w:val="both"/>
        <w:rPr>
          <w:lang w:val="en-GB"/>
        </w:rPr>
      </w:pPr>
    </w:p>
    <w:p w:rsidR="002C05C7" w:rsidRDefault="002C05C7" w:rsidP="002C05C7">
      <w:pPr>
        <w:spacing w:line="360" w:lineRule="auto"/>
        <w:jc w:val="both"/>
        <w:rPr>
          <w:lang w:val="en-GB"/>
        </w:rPr>
      </w:pPr>
      <w:r>
        <w:rPr>
          <w:lang w:val="en-GB"/>
        </w:rPr>
        <w:t xml:space="preserve">6. </w:t>
      </w:r>
      <w:r w:rsidRPr="00813EA8">
        <w:rPr>
          <w:lang w:val="en-GB"/>
        </w:rPr>
        <w:t xml:space="preserve">Simeon-Dubach D, Perren A. Better provenance for biobank samples. </w:t>
      </w:r>
      <w:r>
        <w:rPr>
          <w:lang w:val="en-GB"/>
        </w:rPr>
        <w:t>[</w:t>
      </w:r>
      <w:r w:rsidRPr="00813EA8">
        <w:rPr>
          <w:lang w:val="en-GB"/>
        </w:rPr>
        <w:t>Correspondence</w:t>
      </w:r>
      <w:r>
        <w:rPr>
          <w:lang w:val="en-GB"/>
        </w:rPr>
        <w:t>]</w:t>
      </w:r>
      <w:r w:rsidRPr="00813EA8">
        <w:rPr>
          <w:lang w:val="en-GB"/>
        </w:rPr>
        <w:t xml:space="preserve"> </w:t>
      </w:r>
      <w:r w:rsidRPr="00A300AD">
        <w:rPr>
          <w:i/>
          <w:lang w:val="en-GB"/>
        </w:rPr>
        <w:t>Nature</w:t>
      </w:r>
      <w:r>
        <w:rPr>
          <w:lang w:val="en-GB"/>
        </w:rPr>
        <w:t xml:space="preserve"> 475, </w:t>
      </w:r>
      <w:r w:rsidRPr="00813EA8">
        <w:rPr>
          <w:lang w:val="en-GB"/>
        </w:rPr>
        <w:t xml:space="preserve">28 </w:t>
      </w:r>
      <w:r>
        <w:rPr>
          <w:lang w:val="en-GB"/>
        </w:rPr>
        <w:t>July</w:t>
      </w:r>
      <w:r w:rsidRPr="00813EA8">
        <w:rPr>
          <w:lang w:val="en-GB"/>
        </w:rPr>
        <w:t xml:space="preserve"> 2011</w:t>
      </w:r>
      <w:r>
        <w:rPr>
          <w:lang w:val="en-GB"/>
        </w:rPr>
        <w:t>:454-</w:t>
      </w:r>
      <w:r w:rsidR="00B479F2">
        <w:rPr>
          <w:lang w:val="en-GB"/>
        </w:rPr>
        <w:t>45</w:t>
      </w:r>
      <w:r>
        <w:rPr>
          <w:lang w:val="en-GB"/>
        </w:rPr>
        <w:t>5.</w:t>
      </w:r>
    </w:p>
    <w:p w:rsidR="001366C4" w:rsidRPr="005B2BE3" w:rsidRDefault="001366C4" w:rsidP="00A8496F">
      <w:pPr>
        <w:spacing w:line="360" w:lineRule="auto"/>
        <w:jc w:val="both"/>
        <w:rPr>
          <w:lang w:val="en-GB"/>
        </w:rPr>
      </w:pPr>
    </w:p>
    <w:p w:rsidR="005B7CD5" w:rsidRDefault="001366C4" w:rsidP="007450C2">
      <w:pPr>
        <w:spacing w:line="360" w:lineRule="auto"/>
        <w:jc w:val="both"/>
        <w:rPr>
          <w:lang w:val="en-GB"/>
        </w:rPr>
      </w:pPr>
      <w:r w:rsidRPr="001366C4">
        <w:rPr>
          <w:lang w:val="en-GB"/>
        </w:rPr>
        <w:t>7. Bravo</w:t>
      </w:r>
      <w:r>
        <w:rPr>
          <w:lang w:val="en-GB"/>
        </w:rPr>
        <w:t xml:space="preserve"> E</w:t>
      </w:r>
      <w:r w:rsidRPr="001366C4">
        <w:rPr>
          <w:lang w:val="en-GB"/>
        </w:rPr>
        <w:t>, Calzolari</w:t>
      </w:r>
      <w:r>
        <w:rPr>
          <w:lang w:val="en-GB"/>
        </w:rPr>
        <w:t xml:space="preserve"> A</w:t>
      </w:r>
      <w:r w:rsidRPr="001366C4">
        <w:rPr>
          <w:lang w:val="en-GB"/>
        </w:rPr>
        <w:t>, De Castro</w:t>
      </w:r>
      <w:r>
        <w:rPr>
          <w:lang w:val="en-GB"/>
        </w:rPr>
        <w:t xml:space="preserve"> P</w:t>
      </w:r>
      <w:r w:rsidRPr="001366C4">
        <w:rPr>
          <w:lang w:val="en-GB"/>
        </w:rPr>
        <w:t>, Mabile</w:t>
      </w:r>
      <w:r>
        <w:rPr>
          <w:lang w:val="en-GB"/>
        </w:rPr>
        <w:t xml:space="preserve"> L</w:t>
      </w:r>
      <w:r w:rsidRPr="001366C4">
        <w:rPr>
          <w:lang w:val="en-GB"/>
        </w:rPr>
        <w:t>, Napolitani</w:t>
      </w:r>
      <w:r>
        <w:rPr>
          <w:lang w:val="en-GB"/>
        </w:rPr>
        <w:t xml:space="preserve"> F</w:t>
      </w:r>
      <w:r w:rsidRPr="001366C4">
        <w:rPr>
          <w:lang w:val="en-GB"/>
        </w:rPr>
        <w:t xml:space="preserve">, Rossi </w:t>
      </w:r>
      <w:r w:rsidR="005B2BE3">
        <w:rPr>
          <w:lang w:val="en-GB"/>
        </w:rPr>
        <w:t xml:space="preserve">AM, </w:t>
      </w:r>
      <w:r w:rsidRPr="001366C4">
        <w:rPr>
          <w:lang w:val="en-GB"/>
        </w:rPr>
        <w:t>Cambon-Thomsen</w:t>
      </w:r>
      <w:r w:rsidR="005B2BE3">
        <w:rPr>
          <w:lang w:val="en-GB"/>
        </w:rPr>
        <w:t xml:space="preserve"> A.</w:t>
      </w:r>
      <w:r w:rsidR="007B4B0F">
        <w:rPr>
          <w:lang w:val="en-GB"/>
        </w:rPr>
        <w:t xml:space="preserve"> </w:t>
      </w:r>
      <w:r w:rsidR="007B4B0F" w:rsidRPr="001366C4">
        <w:rPr>
          <w:lang w:val="en-GB"/>
        </w:rPr>
        <w:t>Developing a guideline to standardize the citation of bioresources in journal articles (CoBRA)</w:t>
      </w:r>
      <w:r w:rsidR="007B4B0F">
        <w:rPr>
          <w:lang w:val="en-GB"/>
        </w:rPr>
        <w:t xml:space="preserve">. </w:t>
      </w:r>
      <w:hyperlink r:id="rId9" w:history="1">
        <w:r w:rsidR="00A300AD" w:rsidRPr="00A300AD">
          <w:rPr>
            <w:i/>
            <w:lang w:val="en-GB"/>
          </w:rPr>
          <w:t>BMC Med</w:t>
        </w:r>
      </w:hyperlink>
      <w:r w:rsidR="00A300AD">
        <w:t xml:space="preserve">  </w:t>
      </w:r>
      <w:r w:rsidR="007B4B0F" w:rsidRPr="005B2BE3">
        <w:rPr>
          <w:lang w:val="en-GB"/>
        </w:rPr>
        <w:t>2015 Feb 17;13:33. doi: 10.1186/s12916-015-0266-y</w:t>
      </w:r>
    </w:p>
    <w:p w:rsidR="005B7CD5" w:rsidRDefault="005B7CD5" w:rsidP="007450C2">
      <w:pPr>
        <w:spacing w:line="360" w:lineRule="auto"/>
        <w:jc w:val="both"/>
        <w:rPr>
          <w:lang w:val="en-GB"/>
        </w:rPr>
      </w:pPr>
    </w:p>
    <w:p w:rsidR="005B7CD5" w:rsidRPr="00CF049C" w:rsidRDefault="005B7CD5" w:rsidP="005B7CD5">
      <w:pPr>
        <w:spacing w:line="360" w:lineRule="auto"/>
        <w:jc w:val="both"/>
        <w:rPr>
          <w:color w:val="FF0000"/>
          <w:lang w:val="en-GB"/>
        </w:rPr>
      </w:pPr>
      <w:r w:rsidRPr="00CF049C">
        <w:rPr>
          <w:color w:val="FF0000"/>
          <w:lang w:val="en-GB"/>
        </w:rPr>
        <w:t xml:space="preserve">8. Kodra Y, Ferrari G, Salerno P, Rocchetti A, Taruscio D. </w:t>
      </w:r>
      <w:r w:rsidRPr="00CF049C">
        <w:rPr>
          <w:i/>
          <w:color w:val="FF0000"/>
          <w:lang w:val="en-GB"/>
        </w:rPr>
        <w:t>Il Registro nazionale e i Registri Regionali e Interregionali delle malattie rare. Rapporto 2001-2012</w:t>
      </w:r>
      <w:r w:rsidRPr="00CF049C">
        <w:rPr>
          <w:color w:val="FF0000"/>
          <w:lang w:val="en-GB"/>
        </w:rPr>
        <w:t>. Roma: Istituto Superiore di Sanità; 2015. (Rapporti ISTISAN 15/16)</w:t>
      </w:r>
    </w:p>
    <w:p w:rsidR="007450C2" w:rsidRPr="00FF4FF4" w:rsidRDefault="007450C2" w:rsidP="007450C2">
      <w:pPr>
        <w:spacing w:line="360" w:lineRule="auto"/>
        <w:jc w:val="both"/>
        <w:rPr>
          <w:lang w:val="en-GB"/>
        </w:rPr>
      </w:pPr>
    </w:p>
    <w:p w:rsidR="004F2FF2" w:rsidRPr="008815A5" w:rsidRDefault="004F2FF2" w:rsidP="004F2FF2">
      <w:pPr>
        <w:spacing w:line="360" w:lineRule="auto"/>
        <w:jc w:val="both"/>
        <w:rPr>
          <w:lang w:val="en-GB"/>
        </w:rPr>
      </w:pPr>
      <w:r w:rsidRPr="008815A5">
        <w:rPr>
          <w:color w:val="FF0000"/>
          <w:lang w:val="en-GB"/>
        </w:rPr>
        <w:t>9.</w:t>
      </w:r>
      <w:r w:rsidRPr="008815A5">
        <w:rPr>
          <w:lang w:val="en-GB"/>
        </w:rPr>
        <w:t xml:space="preserve"> Joyce Rogers, Todd Carolin, Jimmie Vaught, and Carolyn Compton. Biobankonomics: A Taxonomy for Evaluating the Economic Benefits of Standardized Centralized Human Biobanking for Translational Research. </w:t>
      </w:r>
      <w:r w:rsidRPr="008815A5">
        <w:rPr>
          <w:i/>
          <w:lang w:val="en-GB"/>
        </w:rPr>
        <w:t>J Natl Cancer Inst Monogr</w:t>
      </w:r>
      <w:r w:rsidRPr="008815A5">
        <w:rPr>
          <w:lang w:val="en-GB"/>
        </w:rPr>
        <w:t xml:space="preserve"> 2011;(42):32-</w:t>
      </w:r>
      <w:r w:rsidR="00B479F2" w:rsidRPr="008815A5">
        <w:rPr>
          <w:lang w:val="en-GB"/>
        </w:rPr>
        <w:t>3</w:t>
      </w:r>
      <w:r w:rsidRPr="008815A5">
        <w:rPr>
          <w:lang w:val="en-GB"/>
        </w:rPr>
        <w:t>8. doi:10.1093/jncimonographs/lgr010</w:t>
      </w:r>
    </w:p>
    <w:p w:rsidR="001366C4" w:rsidRPr="001366C4" w:rsidRDefault="001366C4" w:rsidP="001366C4">
      <w:pPr>
        <w:spacing w:line="360" w:lineRule="auto"/>
        <w:jc w:val="both"/>
        <w:rPr>
          <w:lang w:val="en-GB"/>
        </w:rPr>
      </w:pPr>
    </w:p>
    <w:p w:rsidR="005B7CD5" w:rsidRDefault="004F2FF2" w:rsidP="00FF4FF4">
      <w:pPr>
        <w:spacing w:line="360" w:lineRule="auto"/>
        <w:jc w:val="both"/>
        <w:rPr>
          <w:lang w:val="en-GB"/>
        </w:rPr>
      </w:pPr>
      <w:r w:rsidRPr="008815A5">
        <w:rPr>
          <w:color w:val="FF0000"/>
          <w:lang w:val="en-GB"/>
        </w:rPr>
        <w:lastRenderedPageBreak/>
        <w:t>10.</w:t>
      </w:r>
      <w:r>
        <w:rPr>
          <w:lang w:val="en-GB"/>
        </w:rPr>
        <w:t xml:space="preserve"> </w:t>
      </w:r>
      <w:r w:rsidR="00FF4FF4" w:rsidRPr="00FF4FF4">
        <w:rPr>
          <w:lang w:val="en-GB"/>
        </w:rPr>
        <w:t>Robert Hewitt and Pierre Hainaut</w:t>
      </w:r>
      <w:r w:rsidR="00FF4FF4">
        <w:rPr>
          <w:lang w:val="en-GB"/>
        </w:rPr>
        <w:t xml:space="preserve">. </w:t>
      </w:r>
      <w:r w:rsidR="00FF4FF4" w:rsidRPr="00FF4FF4">
        <w:rPr>
          <w:lang w:val="en-GB"/>
        </w:rPr>
        <w:t>Biobanking in a Fast Moving World: An International Perspective</w:t>
      </w:r>
      <w:r w:rsidR="00FF4FF4">
        <w:rPr>
          <w:lang w:val="en-GB"/>
        </w:rPr>
        <w:t xml:space="preserve">. </w:t>
      </w:r>
      <w:r w:rsidR="00FF4FF4" w:rsidRPr="00A300AD">
        <w:rPr>
          <w:i/>
          <w:lang w:val="en-GB"/>
        </w:rPr>
        <w:t>J Natl Cancer Inst Monogr</w:t>
      </w:r>
      <w:r w:rsidR="00FF4FF4">
        <w:rPr>
          <w:lang w:val="en-GB"/>
        </w:rPr>
        <w:t xml:space="preserve">  2011 (42):50-</w:t>
      </w:r>
      <w:r w:rsidR="00B479F2">
        <w:rPr>
          <w:lang w:val="en-GB"/>
        </w:rPr>
        <w:t>5</w:t>
      </w:r>
      <w:r w:rsidR="00FF4FF4" w:rsidRPr="00FF4FF4">
        <w:rPr>
          <w:lang w:val="en-GB"/>
        </w:rPr>
        <w:t>1</w:t>
      </w:r>
      <w:r w:rsidR="00FF4FF4">
        <w:rPr>
          <w:lang w:val="en-GB"/>
        </w:rPr>
        <w:t>.</w:t>
      </w:r>
      <w:r w:rsidR="00FF4FF4" w:rsidRPr="00FF4FF4">
        <w:rPr>
          <w:lang w:val="en-GB"/>
        </w:rPr>
        <w:t xml:space="preserve"> doi:10.1093/jncimonographs/lgr005</w:t>
      </w:r>
    </w:p>
    <w:p w:rsidR="00FF4FF4" w:rsidRDefault="00FF4FF4" w:rsidP="00FF4FF4">
      <w:pPr>
        <w:spacing w:line="360" w:lineRule="auto"/>
        <w:jc w:val="both"/>
        <w:rPr>
          <w:lang w:val="en-GB"/>
        </w:rPr>
      </w:pPr>
    </w:p>
    <w:p w:rsidR="00FF4FF4" w:rsidRDefault="005B7CD5" w:rsidP="00FF4FF4">
      <w:pPr>
        <w:spacing w:line="360" w:lineRule="auto"/>
        <w:jc w:val="both"/>
      </w:pPr>
      <w:r w:rsidRPr="008815A5">
        <w:rPr>
          <w:color w:val="FF0000"/>
          <w:lang w:val="en-GB"/>
        </w:rPr>
        <w:t>11.</w:t>
      </w:r>
      <w:r w:rsidRPr="008815A5">
        <w:rPr>
          <w:lang w:val="en-GB"/>
        </w:rPr>
        <w:t xml:space="preserve"> </w:t>
      </w:r>
      <w:r w:rsidRPr="00FF4FF4">
        <w:rPr>
          <w:lang w:val="en-GB"/>
        </w:rPr>
        <w:t xml:space="preserve">Watson PH, Nussbeck SY, Carter C, </w:t>
      </w:r>
      <w:r w:rsidRPr="006F5B24">
        <w:rPr>
          <w:i/>
          <w:lang w:val="en-GB"/>
        </w:rPr>
        <w:t>et al.</w:t>
      </w:r>
      <w:r w:rsidRPr="00FF4FF4">
        <w:rPr>
          <w:lang w:val="en-GB"/>
        </w:rPr>
        <w:t xml:space="preserve"> A Framework for Biobank Sustainability. </w:t>
      </w:r>
      <w:r w:rsidRPr="00A300AD">
        <w:rPr>
          <w:i/>
          <w:lang w:val="en-GB"/>
        </w:rPr>
        <w:t>Biopreservation and Biobanking</w:t>
      </w:r>
      <w:r>
        <w:rPr>
          <w:lang w:val="en-GB"/>
        </w:rPr>
        <w:t xml:space="preserve"> 2014;12(1):60-6</w:t>
      </w:r>
      <w:r w:rsidRPr="00FF4FF4">
        <w:rPr>
          <w:lang w:val="en-GB"/>
        </w:rPr>
        <w:t>8. doi:10.1089/bio.2013.0064.</w:t>
      </w:r>
    </w:p>
    <w:p w:rsidR="005B7CD5" w:rsidRDefault="005B7CD5" w:rsidP="005B7CD5">
      <w:pPr>
        <w:spacing w:line="360" w:lineRule="auto"/>
        <w:jc w:val="both"/>
        <w:rPr>
          <w:lang w:val="en-GB"/>
        </w:rPr>
      </w:pPr>
    </w:p>
    <w:p w:rsidR="00AD5487" w:rsidRDefault="00AD5487" w:rsidP="00333D47">
      <w:pPr>
        <w:spacing w:line="360" w:lineRule="auto"/>
        <w:jc w:val="both"/>
      </w:pPr>
    </w:p>
    <w:sectPr w:rsidR="00AD5487" w:rsidSect="00AD5487">
      <w:footerReference w:type="even" r:id="rId10"/>
      <w:footerReference w:type="default" r:id="rId11"/>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F9F" w:rsidRDefault="007F0F9F">
      <w:r>
        <w:separator/>
      </w:r>
    </w:p>
  </w:endnote>
  <w:endnote w:type="continuationSeparator" w:id="0">
    <w:p w:rsidR="007F0F9F" w:rsidRDefault="007F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57" w:rsidRDefault="00FD0557" w:rsidP="004B39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D0557" w:rsidRDefault="00FD0557" w:rsidP="004B399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57" w:rsidRDefault="00FD0557" w:rsidP="004B39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C4226">
      <w:rPr>
        <w:rStyle w:val="Numrodepage"/>
        <w:noProof/>
      </w:rPr>
      <w:t>1</w:t>
    </w:r>
    <w:r>
      <w:rPr>
        <w:rStyle w:val="Numrodepage"/>
      </w:rPr>
      <w:fldChar w:fldCharType="end"/>
    </w:r>
  </w:p>
  <w:p w:rsidR="00FD0557" w:rsidRDefault="00FD0557" w:rsidP="004B399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F9F" w:rsidRDefault="007F0F9F">
      <w:r>
        <w:separator/>
      </w:r>
    </w:p>
  </w:footnote>
  <w:footnote w:type="continuationSeparator" w:id="0">
    <w:p w:rsidR="007F0F9F" w:rsidRDefault="007F0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852F9"/>
    <w:multiLevelType w:val="hybridMultilevel"/>
    <w:tmpl w:val="2904D2E8"/>
    <w:lvl w:ilvl="0" w:tplc="9744724C">
      <w:start w:val="1"/>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87"/>
    <w:rsid w:val="00005257"/>
    <w:rsid w:val="0001326E"/>
    <w:rsid w:val="00020039"/>
    <w:rsid w:val="00032087"/>
    <w:rsid w:val="000434AC"/>
    <w:rsid w:val="00046B12"/>
    <w:rsid w:val="00076694"/>
    <w:rsid w:val="000768F8"/>
    <w:rsid w:val="000B1028"/>
    <w:rsid w:val="000B3469"/>
    <w:rsid w:val="000D3F52"/>
    <w:rsid w:val="000D7CDE"/>
    <w:rsid w:val="000E0AC4"/>
    <w:rsid w:val="00110CB7"/>
    <w:rsid w:val="00112690"/>
    <w:rsid w:val="00112A48"/>
    <w:rsid w:val="00124AEB"/>
    <w:rsid w:val="001366C4"/>
    <w:rsid w:val="00161E88"/>
    <w:rsid w:val="001A0E97"/>
    <w:rsid w:val="001B218C"/>
    <w:rsid w:val="001B48B2"/>
    <w:rsid w:val="001D199A"/>
    <w:rsid w:val="002031C2"/>
    <w:rsid w:val="00213F30"/>
    <w:rsid w:val="00220842"/>
    <w:rsid w:val="0022472B"/>
    <w:rsid w:val="002249CF"/>
    <w:rsid w:val="002354F3"/>
    <w:rsid w:val="002354FC"/>
    <w:rsid w:val="0024766D"/>
    <w:rsid w:val="00251F30"/>
    <w:rsid w:val="002524D2"/>
    <w:rsid w:val="0026618D"/>
    <w:rsid w:val="002858BE"/>
    <w:rsid w:val="002A4E84"/>
    <w:rsid w:val="002A662A"/>
    <w:rsid w:val="002C05C7"/>
    <w:rsid w:val="002D288C"/>
    <w:rsid w:val="002D3287"/>
    <w:rsid w:val="002E5F4C"/>
    <w:rsid w:val="002E7AFB"/>
    <w:rsid w:val="00303665"/>
    <w:rsid w:val="00311728"/>
    <w:rsid w:val="00333D47"/>
    <w:rsid w:val="0034192F"/>
    <w:rsid w:val="003476A5"/>
    <w:rsid w:val="003477B5"/>
    <w:rsid w:val="00354988"/>
    <w:rsid w:val="00367A39"/>
    <w:rsid w:val="00377316"/>
    <w:rsid w:val="003D5326"/>
    <w:rsid w:val="003E1261"/>
    <w:rsid w:val="00407FCF"/>
    <w:rsid w:val="00410EB5"/>
    <w:rsid w:val="00420621"/>
    <w:rsid w:val="00436C8C"/>
    <w:rsid w:val="00442CEC"/>
    <w:rsid w:val="00452E73"/>
    <w:rsid w:val="00467802"/>
    <w:rsid w:val="004934BA"/>
    <w:rsid w:val="00497D8D"/>
    <w:rsid w:val="004B399B"/>
    <w:rsid w:val="004C3D87"/>
    <w:rsid w:val="004F2FF2"/>
    <w:rsid w:val="0051227F"/>
    <w:rsid w:val="005158A5"/>
    <w:rsid w:val="00517FCA"/>
    <w:rsid w:val="005260B9"/>
    <w:rsid w:val="00543152"/>
    <w:rsid w:val="00544194"/>
    <w:rsid w:val="0054702C"/>
    <w:rsid w:val="00547431"/>
    <w:rsid w:val="00550F76"/>
    <w:rsid w:val="00572B87"/>
    <w:rsid w:val="00575CC1"/>
    <w:rsid w:val="00595760"/>
    <w:rsid w:val="005B2BE3"/>
    <w:rsid w:val="005B346A"/>
    <w:rsid w:val="005B7CD5"/>
    <w:rsid w:val="005E6F30"/>
    <w:rsid w:val="00640A49"/>
    <w:rsid w:val="006421FB"/>
    <w:rsid w:val="00647BA7"/>
    <w:rsid w:val="00665CF0"/>
    <w:rsid w:val="00677185"/>
    <w:rsid w:val="006A04B6"/>
    <w:rsid w:val="006C2138"/>
    <w:rsid w:val="006C54D9"/>
    <w:rsid w:val="006D4821"/>
    <w:rsid w:val="006E0193"/>
    <w:rsid w:val="006E3CB7"/>
    <w:rsid w:val="006E72FB"/>
    <w:rsid w:val="006F3160"/>
    <w:rsid w:val="006F5B24"/>
    <w:rsid w:val="006F7AB8"/>
    <w:rsid w:val="0071064F"/>
    <w:rsid w:val="00715E72"/>
    <w:rsid w:val="007179D0"/>
    <w:rsid w:val="00724DB1"/>
    <w:rsid w:val="00725986"/>
    <w:rsid w:val="007315B8"/>
    <w:rsid w:val="007443FA"/>
    <w:rsid w:val="007450C2"/>
    <w:rsid w:val="00752E77"/>
    <w:rsid w:val="007730F3"/>
    <w:rsid w:val="007B4B0F"/>
    <w:rsid w:val="007B53AE"/>
    <w:rsid w:val="007C1F6B"/>
    <w:rsid w:val="007C6DCF"/>
    <w:rsid w:val="007D5EE4"/>
    <w:rsid w:val="007F0F9F"/>
    <w:rsid w:val="007F33C9"/>
    <w:rsid w:val="00803A73"/>
    <w:rsid w:val="0080690D"/>
    <w:rsid w:val="008101E7"/>
    <w:rsid w:val="00813EA8"/>
    <w:rsid w:val="008153CE"/>
    <w:rsid w:val="00831806"/>
    <w:rsid w:val="0084345F"/>
    <w:rsid w:val="008442D4"/>
    <w:rsid w:val="00853A27"/>
    <w:rsid w:val="00857FE7"/>
    <w:rsid w:val="0086368A"/>
    <w:rsid w:val="0087071C"/>
    <w:rsid w:val="00870EED"/>
    <w:rsid w:val="00876D71"/>
    <w:rsid w:val="008815A5"/>
    <w:rsid w:val="008849D4"/>
    <w:rsid w:val="00893DF4"/>
    <w:rsid w:val="008B2792"/>
    <w:rsid w:val="008C1992"/>
    <w:rsid w:val="008C1F94"/>
    <w:rsid w:val="008D60C5"/>
    <w:rsid w:val="009059A1"/>
    <w:rsid w:val="00911080"/>
    <w:rsid w:val="00924263"/>
    <w:rsid w:val="0093630B"/>
    <w:rsid w:val="00946AFD"/>
    <w:rsid w:val="00967012"/>
    <w:rsid w:val="00972263"/>
    <w:rsid w:val="00995D65"/>
    <w:rsid w:val="009A1DF7"/>
    <w:rsid w:val="009B3E1C"/>
    <w:rsid w:val="009B5089"/>
    <w:rsid w:val="009C4226"/>
    <w:rsid w:val="009F132A"/>
    <w:rsid w:val="009F7AE8"/>
    <w:rsid w:val="00A067E3"/>
    <w:rsid w:val="00A213D0"/>
    <w:rsid w:val="00A26C04"/>
    <w:rsid w:val="00A27718"/>
    <w:rsid w:val="00A300AD"/>
    <w:rsid w:val="00A308B9"/>
    <w:rsid w:val="00A34E77"/>
    <w:rsid w:val="00A42D1D"/>
    <w:rsid w:val="00A478A8"/>
    <w:rsid w:val="00A50CC1"/>
    <w:rsid w:val="00A5501A"/>
    <w:rsid w:val="00A618D9"/>
    <w:rsid w:val="00A622FE"/>
    <w:rsid w:val="00A723BA"/>
    <w:rsid w:val="00A748FC"/>
    <w:rsid w:val="00A847B5"/>
    <w:rsid w:val="00A8496F"/>
    <w:rsid w:val="00A867D6"/>
    <w:rsid w:val="00AB13C2"/>
    <w:rsid w:val="00AC1595"/>
    <w:rsid w:val="00AC6E09"/>
    <w:rsid w:val="00AD5487"/>
    <w:rsid w:val="00AE5657"/>
    <w:rsid w:val="00AE6C70"/>
    <w:rsid w:val="00B246D6"/>
    <w:rsid w:val="00B34DC3"/>
    <w:rsid w:val="00B46AF4"/>
    <w:rsid w:val="00B479F2"/>
    <w:rsid w:val="00B54F85"/>
    <w:rsid w:val="00B80009"/>
    <w:rsid w:val="00B8554B"/>
    <w:rsid w:val="00B93DE3"/>
    <w:rsid w:val="00B958EA"/>
    <w:rsid w:val="00BA0FAD"/>
    <w:rsid w:val="00BA45B6"/>
    <w:rsid w:val="00BB32B7"/>
    <w:rsid w:val="00BD59A3"/>
    <w:rsid w:val="00BE0638"/>
    <w:rsid w:val="00BE71D8"/>
    <w:rsid w:val="00BF4114"/>
    <w:rsid w:val="00C0345D"/>
    <w:rsid w:val="00C06114"/>
    <w:rsid w:val="00C20654"/>
    <w:rsid w:val="00C26E4B"/>
    <w:rsid w:val="00C338A0"/>
    <w:rsid w:val="00C37AA4"/>
    <w:rsid w:val="00C53D45"/>
    <w:rsid w:val="00C5681D"/>
    <w:rsid w:val="00C664FC"/>
    <w:rsid w:val="00C80D0E"/>
    <w:rsid w:val="00C837A8"/>
    <w:rsid w:val="00CA1D1F"/>
    <w:rsid w:val="00CB2026"/>
    <w:rsid w:val="00CB3E35"/>
    <w:rsid w:val="00CB400F"/>
    <w:rsid w:val="00CC2F44"/>
    <w:rsid w:val="00CF049C"/>
    <w:rsid w:val="00CF7246"/>
    <w:rsid w:val="00D026AE"/>
    <w:rsid w:val="00D1683D"/>
    <w:rsid w:val="00D25B02"/>
    <w:rsid w:val="00D40532"/>
    <w:rsid w:val="00D458D5"/>
    <w:rsid w:val="00D51003"/>
    <w:rsid w:val="00D76959"/>
    <w:rsid w:val="00DC08DC"/>
    <w:rsid w:val="00DD6491"/>
    <w:rsid w:val="00E0057E"/>
    <w:rsid w:val="00E10BFB"/>
    <w:rsid w:val="00E15EED"/>
    <w:rsid w:val="00E25BE7"/>
    <w:rsid w:val="00E31D49"/>
    <w:rsid w:val="00E357BD"/>
    <w:rsid w:val="00E450DD"/>
    <w:rsid w:val="00E50FFF"/>
    <w:rsid w:val="00E57E82"/>
    <w:rsid w:val="00E7623F"/>
    <w:rsid w:val="00E77949"/>
    <w:rsid w:val="00E81EDF"/>
    <w:rsid w:val="00E97959"/>
    <w:rsid w:val="00EA3D28"/>
    <w:rsid w:val="00EA3E42"/>
    <w:rsid w:val="00EC1BC7"/>
    <w:rsid w:val="00EC6374"/>
    <w:rsid w:val="00ED35B3"/>
    <w:rsid w:val="00ED7990"/>
    <w:rsid w:val="00EE4C14"/>
    <w:rsid w:val="00EE6B7B"/>
    <w:rsid w:val="00EF3AAF"/>
    <w:rsid w:val="00F0404C"/>
    <w:rsid w:val="00F1527A"/>
    <w:rsid w:val="00F15D2A"/>
    <w:rsid w:val="00F26167"/>
    <w:rsid w:val="00F34599"/>
    <w:rsid w:val="00F553E9"/>
    <w:rsid w:val="00F64BFC"/>
    <w:rsid w:val="00F745DD"/>
    <w:rsid w:val="00F75E02"/>
    <w:rsid w:val="00F8284A"/>
    <w:rsid w:val="00FA18B4"/>
    <w:rsid w:val="00FB4A23"/>
    <w:rsid w:val="00FD0557"/>
    <w:rsid w:val="00FD2CA6"/>
    <w:rsid w:val="00FF4FF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96B90-E3B6-4824-9A9B-BDFA1453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C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C6374"/>
    <w:rPr>
      <w:color w:val="0000FF" w:themeColor="hyperlink"/>
      <w:u w:val="single"/>
    </w:rPr>
  </w:style>
  <w:style w:type="character" w:styleId="Lienhypertextesuivivisit">
    <w:name w:val="FollowedHyperlink"/>
    <w:basedOn w:val="Policepardfaut"/>
    <w:uiPriority w:val="99"/>
    <w:semiHidden/>
    <w:unhideWhenUsed/>
    <w:rsid w:val="00AC6E09"/>
    <w:rPr>
      <w:color w:val="800080" w:themeColor="followedHyperlink"/>
      <w:u w:val="single"/>
    </w:rPr>
  </w:style>
  <w:style w:type="paragraph" w:styleId="Textedebulles">
    <w:name w:val="Balloon Text"/>
    <w:basedOn w:val="Normal"/>
    <w:link w:val="TextedebullesCar"/>
    <w:rsid w:val="00F745DD"/>
    <w:rPr>
      <w:rFonts w:ascii="Lucida Grande" w:hAnsi="Lucida Grande"/>
      <w:sz w:val="18"/>
      <w:szCs w:val="18"/>
    </w:rPr>
  </w:style>
  <w:style w:type="character" w:customStyle="1" w:styleId="TextedebullesCar">
    <w:name w:val="Texte de bulles Car"/>
    <w:basedOn w:val="Policepardfaut"/>
    <w:link w:val="Textedebulles"/>
    <w:rsid w:val="00F745DD"/>
    <w:rPr>
      <w:rFonts w:ascii="Lucida Grande" w:hAnsi="Lucida Grande"/>
      <w:sz w:val="18"/>
      <w:szCs w:val="18"/>
    </w:rPr>
  </w:style>
  <w:style w:type="character" w:customStyle="1" w:styleId="apple-converted-space">
    <w:name w:val="apple-converted-space"/>
    <w:basedOn w:val="Policepardfaut"/>
    <w:rsid w:val="005B2BE3"/>
  </w:style>
  <w:style w:type="paragraph" w:styleId="Pieddepage">
    <w:name w:val="footer"/>
    <w:basedOn w:val="Normal"/>
    <w:link w:val="PieddepageCar"/>
    <w:rsid w:val="004B399B"/>
    <w:pPr>
      <w:tabs>
        <w:tab w:val="center" w:pos="4819"/>
        <w:tab w:val="right" w:pos="9638"/>
      </w:tabs>
    </w:pPr>
  </w:style>
  <w:style w:type="character" w:customStyle="1" w:styleId="PieddepageCar">
    <w:name w:val="Pied de page Car"/>
    <w:basedOn w:val="Policepardfaut"/>
    <w:link w:val="Pieddepage"/>
    <w:rsid w:val="004B399B"/>
  </w:style>
  <w:style w:type="character" w:styleId="Numrodepage">
    <w:name w:val="page number"/>
    <w:basedOn w:val="Policepardfaut"/>
    <w:rsid w:val="004B399B"/>
  </w:style>
  <w:style w:type="paragraph" w:styleId="Paragraphedeliste">
    <w:name w:val="List Paragraph"/>
    <w:basedOn w:val="Normal"/>
    <w:uiPriority w:val="34"/>
    <w:qFormat/>
    <w:rsid w:val="0064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90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2phen.org/groups/brif-bio-resource-impact-fac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derica.napolitani@is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ubmed/25855867?dopt=Abstract&amp;holding=f1000,f1000m,isrct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1998</Words>
  <Characters>10993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Istituto Superiore di Sanità</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NAPOLITANI</dc:creator>
  <cp:keywords/>
  <cp:lastModifiedBy>lm</cp:lastModifiedBy>
  <cp:revision>2</cp:revision>
  <cp:lastPrinted>2016-02-18T09:51:00Z</cp:lastPrinted>
  <dcterms:created xsi:type="dcterms:W3CDTF">2019-01-11T14:42:00Z</dcterms:created>
  <dcterms:modified xsi:type="dcterms:W3CDTF">2019-01-11T14:42:00Z</dcterms:modified>
</cp:coreProperties>
</file>